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D62A9" w14:textId="2FD9AB3B" w:rsidR="00585C99" w:rsidRPr="006265EC" w:rsidRDefault="00585C99" w:rsidP="006265EC">
      <w:pPr>
        <w:rPr>
          <w:rFonts w:ascii="Arial" w:hAnsi="Arial" w:cs="Arial"/>
          <w:b/>
          <w:sz w:val="28"/>
        </w:rPr>
      </w:pPr>
      <w:bookmarkStart w:id="0" w:name="_Hlk106026955"/>
      <w:bookmarkEnd w:id="0"/>
      <w:r w:rsidRPr="006265EC">
        <w:rPr>
          <w:rFonts w:ascii="Arial" w:hAnsi="Arial" w:cs="Arial"/>
          <w:b/>
          <w:sz w:val="28"/>
        </w:rPr>
        <w:t>Crude Membrane Fractionation of Cultured Cells</w:t>
      </w:r>
    </w:p>
    <w:p w14:paraId="5020FA84" w14:textId="77777777" w:rsidR="00BC30A9" w:rsidRPr="006265EC" w:rsidRDefault="00BC30A9" w:rsidP="006265EC">
      <w:pPr>
        <w:rPr>
          <w:rFonts w:ascii="Arial" w:hAnsi="Arial" w:cs="Arial"/>
          <w:b/>
        </w:rPr>
      </w:pPr>
    </w:p>
    <w:p w14:paraId="0C2EE309" w14:textId="1D207E67" w:rsidR="00585C99" w:rsidRPr="006265EC" w:rsidRDefault="00585C99" w:rsidP="006265EC">
      <w:pPr>
        <w:rPr>
          <w:rFonts w:ascii="Arial" w:hAnsi="Arial" w:cs="Arial"/>
          <w:b/>
        </w:rPr>
      </w:pPr>
      <w:r w:rsidRPr="006265EC">
        <w:rPr>
          <w:rFonts w:ascii="Arial" w:hAnsi="Arial" w:cs="Arial"/>
          <w:b/>
        </w:rPr>
        <w:t>Authors: Asad Malik</w:t>
      </w:r>
      <w:r w:rsidR="006265EC" w:rsidRPr="006265EC">
        <w:rPr>
          <w:rFonts w:ascii="Arial" w:hAnsi="Arial" w:cs="Arial"/>
          <w:b/>
          <w:vertAlign w:val="superscript"/>
        </w:rPr>
        <w:t>1</w:t>
      </w:r>
      <w:r w:rsidRPr="006265EC">
        <w:rPr>
          <w:rFonts w:ascii="Arial" w:hAnsi="Arial" w:cs="Arial"/>
          <w:b/>
        </w:rPr>
        <w:t>, Dario R. Alessi</w:t>
      </w:r>
      <w:r w:rsidR="006265EC" w:rsidRPr="006265EC">
        <w:rPr>
          <w:rFonts w:ascii="Arial" w:hAnsi="Arial" w:cs="Arial"/>
          <w:b/>
          <w:vertAlign w:val="superscript"/>
        </w:rPr>
        <w:t>1</w:t>
      </w:r>
      <w:r w:rsidR="006856F9" w:rsidRPr="006265EC">
        <w:rPr>
          <w:rFonts w:ascii="Arial" w:hAnsi="Arial" w:cs="Arial"/>
          <w:b/>
        </w:rPr>
        <w:t xml:space="preserve">, </w:t>
      </w:r>
      <w:proofErr w:type="gramStart"/>
      <w:r w:rsidR="006856F9" w:rsidRPr="006265EC">
        <w:rPr>
          <w:rFonts w:ascii="Arial" w:hAnsi="Arial" w:cs="Arial"/>
          <w:b/>
        </w:rPr>
        <w:t>Suzanne</w:t>
      </w:r>
      <w:proofErr w:type="gramEnd"/>
      <w:r w:rsidR="006856F9" w:rsidRPr="006265EC">
        <w:rPr>
          <w:rFonts w:ascii="Arial" w:hAnsi="Arial" w:cs="Arial"/>
          <w:b/>
        </w:rPr>
        <w:t xml:space="preserve"> R. Pfeffer</w:t>
      </w:r>
      <w:r w:rsidR="006265EC" w:rsidRPr="006265EC">
        <w:rPr>
          <w:rFonts w:ascii="Arial" w:hAnsi="Arial" w:cs="Arial"/>
          <w:b/>
          <w:vertAlign w:val="superscript"/>
        </w:rPr>
        <w:t>2</w:t>
      </w:r>
    </w:p>
    <w:p w14:paraId="7DC88AA3" w14:textId="7E727111" w:rsidR="00585C99" w:rsidRDefault="006265EC" w:rsidP="006265EC">
      <w:pPr>
        <w:rPr>
          <w:rFonts w:ascii="Arial" w:hAnsi="Arial" w:cs="Arial"/>
        </w:rPr>
      </w:pPr>
      <w:r w:rsidRPr="006265EC">
        <w:rPr>
          <w:rFonts w:ascii="Arial" w:hAnsi="Arial" w:cs="Arial"/>
          <w:b/>
          <w:vertAlign w:val="superscript"/>
        </w:rPr>
        <w:t>1</w:t>
      </w:r>
      <w:r w:rsidR="00585C99" w:rsidRPr="006265EC">
        <w:rPr>
          <w:rFonts w:ascii="Arial" w:hAnsi="Arial" w:cs="Arial"/>
        </w:rPr>
        <w:t>Medical Research Council Protein Phosphorylation and Ubiquitylation Unit, School of Life Sciences, University of Dundee, Dow Street, Dundee DD1 5EH, UK</w:t>
      </w:r>
    </w:p>
    <w:p w14:paraId="07689EEE" w14:textId="77777777" w:rsidR="006265EC" w:rsidRDefault="006265EC" w:rsidP="006265EC">
      <w:pPr>
        <w:rPr>
          <w:rFonts w:ascii="Arial" w:hAnsi="Arial" w:cs="Arial"/>
        </w:rPr>
      </w:pPr>
    </w:p>
    <w:p w14:paraId="1B2F6A9E" w14:textId="43AF9A6D" w:rsidR="00BC30A9" w:rsidRDefault="006265EC" w:rsidP="006265EC">
      <w:pPr>
        <w:rPr>
          <w:rFonts w:ascii="Arial" w:hAnsi="Arial" w:cs="Arial"/>
        </w:rPr>
      </w:pPr>
      <w:r>
        <w:rPr>
          <w:rFonts w:ascii="Arial" w:hAnsi="Arial" w:cs="Arial"/>
          <w:b/>
          <w:vertAlign w:val="superscript"/>
        </w:rPr>
        <w:t>2</w:t>
      </w:r>
      <w:r>
        <w:rPr>
          <w:rFonts w:ascii="Arial" w:hAnsi="Arial" w:cs="Arial"/>
        </w:rPr>
        <w:t>Stanford University School of Medicine, Stanford, CA 94305-5307</w:t>
      </w:r>
    </w:p>
    <w:p w14:paraId="42C41D17" w14:textId="77777777" w:rsidR="006265EC" w:rsidRPr="006265EC" w:rsidRDefault="006265EC" w:rsidP="006265EC">
      <w:pPr>
        <w:rPr>
          <w:rFonts w:ascii="Arial" w:hAnsi="Arial" w:cs="Arial"/>
        </w:rPr>
      </w:pPr>
    </w:p>
    <w:p w14:paraId="117B7C2A" w14:textId="0DAF5A7F" w:rsidR="00585C99" w:rsidRPr="006265EC" w:rsidRDefault="00585C99" w:rsidP="006265EC">
      <w:pPr>
        <w:rPr>
          <w:rFonts w:ascii="Arial" w:hAnsi="Arial" w:cs="Arial"/>
          <w:b/>
        </w:rPr>
      </w:pPr>
      <w:r w:rsidRPr="006265EC">
        <w:rPr>
          <w:rFonts w:ascii="Arial" w:hAnsi="Arial" w:cs="Arial"/>
          <w:b/>
        </w:rPr>
        <w:t xml:space="preserve">Summary </w:t>
      </w:r>
    </w:p>
    <w:p w14:paraId="49570EEE" w14:textId="1572C300" w:rsidR="00585C99" w:rsidRDefault="00585C99" w:rsidP="006265EC">
      <w:pPr>
        <w:rPr>
          <w:rFonts w:ascii="Arial" w:hAnsi="Arial" w:cs="Arial"/>
          <w:color w:val="000000" w:themeColor="text1"/>
        </w:rPr>
      </w:pPr>
      <w:r w:rsidRPr="006265EC">
        <w:rPr>
          <w:rFonts w:ascii="Arial" w:hAnsi="Arial" w:cs="Arial"/>
          <w:color w:val="000000" w:themeColor="text1"/>
        </w:rPr>
        <w:t xml:space="preserve">We </w:t>
      </w:r>
      <w:r w:rsidR="006265EC">
        <w:rPr>
          <w:rFonts w:ascii="Arial" w:hAnsi="Arial" w:cs="Arial"/>
          <w:color w:val="000000" w:themeColor="text1"/>
        </w:rPr>
        <w:t>present here</w:t>
      </w:r>
      <w:r w:rsidRPr="006265EC">
        <w:rPr>
          <w:rFonts w:ascii="Arial" w:hAnsi="Arial" w:cs="Arial"/>
          <w:color w:val="000000" w:themeColor="text1"/>
        </w:rPr>
        <w:t xml:space="preserve"> a </w:t>
      </w:r>
      <w:r w:rsidR="00B86739" w:rsidRPr="006265EC">
        <w:rPr>
          <w:rFonts w:ascii="Arial" w:hAnsi="Arial" w:cs="Arial"/>
          <w:color w:val="000000" w:themeColor="text1"/>
        </w:rPr>
        <w:t xml:space="preserve">protocol </w:t>
      </w:r>
      <w:r w:rsidR="006265EC">
        <w:rPr>
          <w:rFonts w:ascii="Arial" w:hAnsi="Arial" w:cs="Arial"/>
          <w:color w:val="000000" w:themeColor="text1"/>
        </w:rPr>
        <w:t>for fractionating</w:t>
      </w:r>
      <w:r w:rsidR="00B86739" w:rsidRPr="006265EC">
        <w:rPr>
          <w:rFonts w:ascii="Arial" w:hAnsi="Arial" w:cs="Arial"/>
          <w:color w:val="000000" w:themeColor="text1"/>
        </w:rPr>
        <w:t xml:space="preserve"> crude cellular </w:t>
      </w:r>
      <w:r w:rsidR="006265EC">
        <w:rPr>
          <w:rFonts w:ascii="Arial" w:hAnsi="Arial" w:cs="Arial"/>
          <w:color w:val="000000" w:themeColor="text1"/>
        </w:rPr>
        <w:t>extracts to prepare membrane and</w:t>
      </w:r>
      <w:r w:rsidR="00B86739" w:rsidRPr="006265EC">
        <w:rPr>
          <w:rFonts w:ascii="Arial" w:hAnsi="Arial" w:cs="Arial"/>
          <w:color w:val="000000" w:themeColor="text1"/>
        </w:rPr>
        <w:t xml:space="preserve"> </w:t>
      </w:r>
      <w:r w:rsidR="006265EC">
        <w:rPr>
          <w:rFonts w:ascii="Arial" w:hAnsi="Arial" w:cs="Arial"/>
          <w:color w:val="000000" w:themeColor="text1"/>
        </w:rPr>
        <w:t xml:space="preserve">cytosol-enriched fractions </w:t>
      </w:r>
      <w:r w:rsidR="00B86739" w:rsidRPr="006265EC">
        <w:rPr>
          <w:rFonts w:ascii="Arial" w:hAnsi="Arial" w:cs="Arial"/>
          <w:color w:val="000000" w:themeColor="text1"/>
        </w:rPr>
        <w:t>and a nucle</w:t>
      </w:r>
      <w:r w:rsidR="006265EC">
        <w:rPr>
          <w:rFonts w:ascii="Arial" w:hAnsi="Arial" w:cs="Arial"/>
          <w:color w:val="000000" w:themeColor="text1"/>
        </w:rPr>
        <w:t>i</w:t>
      </w:r>
      <w:r w:rsidR="00B86739" w:rsidRPr="006265EC">
        <w:rPr>
          <w:rFonts w:ascii="Arial" w:hAnsi="Arial" w:cs="Arial"/>
          <w:color w:val="000000" w:themeColor="text1"/>
        </w:rPr>
        <w:t>-containing insoluble fraction</w:t>
      </w:r>
      <w:r w:rsidR="006856F9" w:rsidRPr="006265EC">
        <w:rPr>
          <w:rFonts w:ascii="Arial" w:hAnsi="Arial" w:cs="Arial"/>
          <w:color w:val="000000" w:themeColor="text1"/>
        </w:rPr>
        <w:t xml:space="preserve"> </w:t>
      </w:r>
      <w:r w:rsidR="006265EC">
        <w:rPr>
          <w:rFonts w:ascii="Arial" w:hAnsi="Arial" w:cs="Arial"/>
          <w:color w:val="000000" w:themeColor="text1"/>
        </w:rPr>
        <w:t>from</w:t>
      </w:r>
      <w:r w:rsidR="006856F9" w:rsidRPr="006265EC">
        <w:rPr>
          <w:rFonts w:ascii="Arial" w:hAnsi="Arial" w:cs="Arial"/>
          <w:color w:val="000000" w:themeColor="text1"/>
        </w:rPr>
        <w:t xml:space="preserve"> cultured cells</w:t>
      </w:r>
      <w:r w:rsidR="00B86739" w:rsidRPr="006265EC">
        <w:rPr>
          <w:rFonts w:ascii="Arial" w:hAnsi="Arial" w:cs="Arial"/>
          <w:color w:val="000000" w:themeColor="text1"/>
        </w:rPr>
        <w:t>. W</w:t>
      </w:r>
      <w:r w:rsidRPr="006265EC">
        <w:rPr>
          <w:rFonts w:ascii="Arial" w:hAnsi="Arial" w:cs="Arial"/>
          <w:color w:val="000000" w:themeColor="text1"/>
        </w:rPr>
        <w:t xml:space="preserve">e deploy </w:t>
      </w:r>
      <w:r w:rsidR="00B86739" w:rsidRPr="006265EC">
        <w:rPr>
          <w:rFonts w:ascii="Arial" w:hAnsi="Arial" w:cs="Arial"/>
          <w:color w:val="000000" w:themeColor="text1"/>
        </w:rPr>
        <w:t xml:space="preserve">this protocol </w:t>
      </w:r>
      <w:r w:rsidRPr="006265EC">
        <w:rPr>
          <w:rFonts w:ascii="Arial" w:hAnsi="Arial" w:cs="Arial"/>
          <w:color w:val="000000" w:themeColor="text1"/>
        </w:rPr>
        <w:t xml:space="preserve">for </w:t>
      </w:r>
      <w:r w:rsidR="006265EC">
        <w:rPr>
          <w:rFonts w:ascii="Arial" w:hAnsi="Arial" w:cs="Arial"/>
          <w:color w:val="000000" w:themeColor="text1"/>
        </w:rPr>
        <w:t>determining the</w:t>
      </w:r>
      <w:r w:rsidRPr="006265EC">
        <w:rPr>
          <w:rFonts w:ascii="Arial" w:hAnsi="Arial" w:cs="Arial"/>
          <w:color w:val="000000" w:themeColor="text1"/>
        </w:rPr>
        <w:t xml:space="preserve"> </w:t>
      </w:r>
      <w:r w:rsidR="006856F9" w:rsidRPr="006265EC">
        <w:rPr>
          <w:rFonts w:ascii="Arial" w:hAnsi="Arial" w:cs="Arial"/>
          <w:color w:val="000000" w:themeColor="text1"/>
        </w:rPr>
        <w:t xml:space="preserve">membrane </w:t>
      </w:r>
      <w:r w:rsidR="006265EC">
        <w:rPr>
          <w:rFonts w:ascii="Arial" w:hAnsi="Arial" w:cs="Arial"/>
          <w:color w:val="000000" w:themeColor="text1"/>
        </w:rPr>
        <w:t>versus</w:t>
      </w:r>
      <w:r w:rsidR="006856F9" w:rsidRPr="006265EC">
        <w:rPr>
          <w:rFonts w:ascii="Arial" w:hAnsi="Arial" w:cs="Arial"/>
          <w:color w:val="000000" w:themeColor="text1"/>
        </w:rPr>
        <w:t xml:space="preserve"> cytosolic distribution of </w:t>
      </w:r>
      <w:r w:rsidR="00B86739" w:rsidRPr="006265EC">
        <w:rPr>
          <w:rFonts w:ascii="Arial" w:hAnsi="Arial" w:cs="Arial"/>
          <w:color w:val="000000" w:themeColor="text1"/>
        </w:rPr>
        <w:t xml:space="preserve">components </w:t>
      </w:r>
      <w:r w:rsidR="006265EC">
        <w:rPr>
          <w:rFonts w:ascii="Arial" w:hAnsi="Arial" w:cs="Arial"/>
          <w:color w:val="000000" w:themeColor="text1"/>
        </w:rPr>
        <w:t>from</w:t>
      </w:r>
      <w:r w:rsidR="00B86739" w:rsidRPr="006265EC">
        <w:rPr>
          <w:rFonts w:ascii="Arial" w:hAnsi="Arial" w:cs="Arial"/>
          <w:color w:val="000000" w:themeColor="text1"/>
        </w:rPr>
        <w:t xml:space="preserve"> LRRK1 and LRRK2 signalling pathways</w:t>
      </w:r>
      <w:r w:rsidRPr="006265EC">
        <w:rPr>
          <w:rFonts w:ascii="Arial" w:hAnsi="Arial" w:cs="Arial"/>
          <w:color w:val="000000" w:themeColor="text1"/>
        </w:rPr>
        <w:t xml:space="preserve">. </w:t>
      </w:r>
    </w:p>
    <w:p w14:paraId="63FBD913" w14:textId="77777777" w:rsidR="006265EC" w:rsidRPr="006265EC" w:rsidRDefault="006265EC" w:rsidP="006265EC">
      <w:pPr>
        <w:rPr>
          <w:rFonts w:ascii="Arial" w:hAnsi="Arial" w:cs="Arial"/>
          <w:color w:val="000000" w:themeColor="text1"/>
        </w:rPr>
      </w:pPr>
    </w:p>
    <w:p w14:paraId="2BE498BA" w14:textId="562D3186" w:rsidR="00585C99" w:rsidRDefault="00585C99" w:rsidP="006265EC">
      <w:pPr>
        <w:rPr>
          <w:rFonts w:ascii="Arial" w:hAnsi="Arial" w:cs="Arial"/>
          <w:color w:val="000000" w:themeColor="text1"/>
        </w:rPr>
      </w:pPr>
      <w:r w:rsidRPr="006265EC">
        <w:rPr>
          <w:rFonts w:ascii="Arial" w:hAnsi="Arial" w:cs="Arial"/>
          <w:i/>
          <w:iCs/>
          <w:color w:val="000000" w:themeColor="text1"/>
        </w:rPr>
        <w:t xml:space="preserve">Note: </w:t>
      </w:r>
      <w:r w:rsidR="006265EC">
        <w:rPr>
          <w:rFonts w:ascii="Arial" w:hAnsi="Arial" w:cs="Arial"/>
          <w:color w:val="000000" w:themeColor="text1"/>
        </w:rPr>
        <w:t>We</w:t>
      </w:r>
      <w:r w:rsidRPr="006265EC">
        <w:rPr>
          <w:rFonts w:ascii="Arial" w:hAnsi="Arial" w:cs="Arial"/>
          <w:color w:val="000000" w:themeColor="text1"/>
        </w:rPr>
        <w:t xml:space="preserve"> recommend analysing the products </w:t>
      </w:r>
      <w:r w:rsidR="006265EC">
        <w:rPr>
          <w:rFonts w:ascii="Arial" w:hAnsi="Arial" w:cs="Arial"/>
          <w:color w:val="000000" w:themeColor="text1"/>
        </w:rPr>
        <w:t xml:space="preserve">of this fractionation scheme </w:t>
      </w:r>
      <w:r w:rsidRPr="006265EC">
        <w:rPr>
          <w:rFonts w:ascii="Arial" w:hAnsi="Arial" w:cs="Arial"/>
          <w:color w:val="000000" w:themeColor="text1"/>
        </w:rPr>
        <w:t>by quantitative immunoblotting (as described in</w:t>
      </w:r>
      <w:r w:rsidR="00D71E19" w:rsidRPr="006265EC">
        <w:rPr>
          <w:rFonts w:ascii="Arial" w:hAnsi="Arial" w:cs="Arial"/>
        </w:rPr>
        <w:t xml:space="preserve"> dx.doi.org/10.17504/protocols.io.6qpvr68e3vmk/v1</w:t>
      </w:r>
      <w:r w:rsidRPr="006265EC">
        <w:rPr>
          <w:rFonts w:ascii="Arial" w:hAnsi="Arial" w:cs="Arial"/>
          <w:color w:val="000000" w:themeColor="text1"/>
        </w:rPr>
        <w:t>).</w:t>
      </w:r>
    </w:p>
    <w:p w14:paraId="1ED1B527" w14:textId="77777777" w:rsidR="006265EC" w:rsidRPr="006265EC" w:rsidRDefault="006265EC" w:rsidP="006265EC">
      <w:pPr>
        <w:rPr>
          <w:rFonts w:ascii="Arial" w:hAnsi="Arial" w:cs="Arial"/>
          <w:i/>
          <w:iCs/>
          <w:color w:val="000000" w:themeColor="text1"/>
        </w:rPr>
      </w:pPr>
    </w:p>
    <w:p w14:paraId="7BC3F05B" w14:textId="045D0D21" w:rsidR="00585C99" w:rsidRPr="006265EC" w:rsidRDefault="00585C99" w:rsidP="006265EC">
      <w:pPr>
        <w:rPr>
          <w:rFonts w:ascii="Arial" w:hAnsi="Arial" w:cs="Arial"/>
        </w:rPr>
      </w:pPr>
      <w:r w:rsidRPr="006265EC">
        <w:rPr>
          <w:rFonts w:ascii="Arial" w:hAnsi="Arial" w:cs="Arial"/>
          <w:i/>
          <w:iCs/>
        </w:rPr>
        <w:t xml:space="preserve">Note: </w:t>
      </w:r>
      <w:r w:rsidRPr="006265EC">
        <w:rPr>
          <w:rFonts w:ascii="Arial" w:hAnsi="Arial" w:cs="Arial"/>
        </w:rPr>
        <w:t xml:space="preserve">This protocol was adapted from </w:t>
      </w:r>
      <w:r w:rsidR="00D71E19" w:rsidRPr="006265EC">
        <w:rPr>
          <w:rFonts w:ascii="Arial" w:hAnsi="Arial" w:cs="Arial"/>
        </w:rPr>
        <w:t>https://doi.org/10.15252/embj.201798099</w:t>
      </w:r>
    </w:p>
    <w:p w14:paraId="0F418670" w14:textId="77777777" w:rsidR="001B27F0" w:rsidRPr="006265EC" w:rsidRDefault="001B27F0" w:rsidP="006265EC">
      <w:pPr>
        <w:rPr>
          <w:rFonts w:ascii="Arial" w:hAnsi="Arial" w:cs="Arial"/>
          <w:b/>
        </w:rPr>
      </w:pPr>
    </w:p>
    <w:p w14:paraId="26E8DCA1" w14:textId="62667273" w:rsidR="00585C99" w:rsidRPr="006265EC" w:rsidRDefault="00585C99" w:rsidP="006265EC">
      <w:pPr>
        <w:rPr>
          <w:rFonts w:ascii="Arial" w:hAnsi="Arial" w:cs="Arial"/>
          <w:b/>
        </w:rPr>
      </w:pPr>
      <w:r w:rsidRPr="006265EC">
        <w:rPr>
          <w:rFonts w:ascii="Arial" w:hAnsi="Arial" w:cs="Arial"/>
          <w:b/>
        </w:rPr>
        <w:t>1) MATERIALS</w:t>
      </w:r>
    </w:p>
    <w:p w14:paraId="1825501E" w14:textId="77777777" w:rsidR="00BC30A9" w:rsidRPr="006265EC" w:rsidRDefault="00BC30A9" w:rsidP="006265EC">
      <w:pPr>
        <w:rPr>
          <w:rFonts w:ascii="Arial" w:hAnsi="Arial" w:cs="Arial"/>
          <w:b/>
        </w:rPr>
      </w:pPr>
    </w:p>
    <w:p w14:paraId="4E64D2D8" w14:textId="1C377F8F" w:rsidR="00585C99" w:rsidRDefault="00585C99" w:rsidP="006265EC">
      <w:pPr>
        <w:rPr>
          <w:rFonts w:ascii="Arial" w:hAnsi="Arial" w:cs="Arial"/>
          <w:b/>
        </w:rPr>
      </w:pPr>
      <w:r w:rsidRPr="006265EC">
        <w:rPr>
          <w:rFonts w:ascii="Arial" w:hAnsi="Arial" w:cs="Arial"/>
          <w:b/>
        </w:rPr>
        <w:t>1.1) Reagents:</w:t>
      </w:r>
    </w:p>
    <w:p w14:paraId="6EAF96D6" w14:textId="77777777" w:rsidR="006265EC" w:rsidRPr="006265EC" w:rsidRDefault="006265EC" w:rsidP="006265EC">
      <w:pPr>
        <w:rPr>
          <w:rFonts w:ascii="Arial" w:hAnsi="Arial" w:cs="Arial"/>
          <w:b/>
        </w:rPr>
      </w:pPr>
    </w:p>
    <w:p w14:paraId="1FD1E686" w14:textId="1FA270ED" w:rsidR="00585C99" w:rsidRPr="006265EC" w:rsidRDefault="00585C99" w:rsidP="006265EC">
      <w:pPr>
        <w:rPr>
          <w:rFonts w:ascii="Arial" w:hAnsi="Arial" w:cs="Arial"/>
          <w:color w:val="000000" w:themeColor="text1"/>
        </w:rPr>
      </w:pPr>
      <w:r w:rsidRPr="006265EC">
        <w:rPr>
          <w:rFonts w:ascii="Arial" w:hAnsi="Arial" w:cs="Arial"/>
        </w:rPr>
        <w:t>1.1.</w:t>
      </w:r>
      <w:r w:rsidR="00F818DB" w:rsidRPr="006265EC">
        <w:rPr>
          <w:rFonts w:ascii="Arial" w:hAnsi="Arial" w:cs="Arial"/>
        </w:rPr>
        <w:t>1</w:t>
      </w:r>
      <w:r w:rsidRPr="006265EC">
        <w:rPr>
          <w:rFonts w:ascii="Arial" w:hAnsi="Arial" w:cs="Arial"/>
        </w:rPr>
        <w:t xml:space="preserve">) Buffer </w:t>
      </w:r>
      <w:r w:rsidRPr="006265EC">
        <w:rPr>
          <w:rFonts w:ascii="Arial" w:hAnsi="Arial" w:cs="Arial"/>
          <w:b/>
          <w:bCs/>
        </w:rPr>
        <w:t>A</w:t>
      </w:r>
      <w:r w:rsidRPr="006265EC">
        <w:rPr>
          <w:rFonts w:ascii="Arial" w:hAnsi="Arial" w:cs="Arial"/>
        </w:rPr>
        <w:t>:</w:t>
      </w:r>
      <w:r w:rsidR="00F818DB" w:rsidRPr="006265EC">
        <w:rPr>
          <w:rFonts w:ascii="Arial" w:hAnsi="Arial" w:cs="Arial"/>
        </w:rPr>
        <w:t xml:space="preserve"> 10 mM HEPES pH 7.4 and </w:t>
      </w:r>
      <w:proofErr w:type="spellStart"/>
      <w:r w:rsidR="00F818DB" w:rsidRPr="006265EC">
        <w:rPr>
          <w:rFonts w:ascii="Arial" w:hAnsi="Arial" w:cs="Arial"/>
        </w:rPr>
        <w:t>cOmplete</w:t>
      </w:r>
      <w:r w:rsidR="00F818DB" w:rsidRPr="006265EC">
        <w:rPr>
          <w:rFonts w:ascii="Arial" w:hAnsi="Arial" w:cs="Arial"/>
          <w:vertAlign w:val="superscript"/>
        </w:rPr>
        <w:t>TM</w:t>
      </w:r>
      <w:proofErr w:type="spellEnd"/>
      <w:r w:rsidR="00F818DB" w:rsidRPr="006265EC">
        <w:rPr>
          <w:rFonts w:ascii="Arial" w:hAnsi="Arial" w:cs="Arial"/>
        </w:rPr>
        <w:t xml:space="preserve"> EDTA-free Protease Inhibitor Cocktail (</w:t>
      </w:r>
      <w:r w:rsidR="006265EC" w:rsidRPr="006265EC">
        <w:rPr>
          <w:rFonts w:ascii="Arial" w:hAnsi="Arial" w:cs="Arial"/>
        </w:rPr>
        <w:t>added fresh before use</w:t>
      </w:r>
      <w:r w:rsidR="006265EC">
        <w:rPr>
          <w:rFonts w:ascii="Arial" w:hAnsi="Arial" w:cs="Arial"/>
        </w:rPr>
        <w:t xml:space="preserve">, </w:t>
      </w:r>
      <w:r w:rsidR="00F818DB" w:rsidRPr="006265EC">
        <w:rPr>
          <w:rFonts w:ascii="Arial" w:hAnsi="Arial" w:cs="Arial"/>
        </w:rPr>
        <w:t>Roche, 11836170001)</w:t>
      </w:r>
    </w:p>
    <w:p w14:paraId="613A86A7" w14:textId="77777777" w:rsidR="006265EC" w:rsidRPr="006265EC" w:rsidRDefault="006265EC" w:rsidP="006265EC">
      <w:pPr>
        <w:rPr>
          <w:rFonts w:ascii="Arial" w:hAnsi="Arial" w:cs="Arial"/>
        </w:rPr>
      </w:pPr>
    </w:p>
    <w:p w14:paraId="5EB94938" w14:textId="556C9D68" w:rsidR="00D71E19" w:rsidRDefault="00585C99" w:rsidP="006265EC">
      <w:pPr>
        <w:rPr>
          <w:rFonts w:ascii="Arial" w:hAnsi="Arial" w:cs="Arial"/>
        </w:rPr>
      </w:pPr>
      <w:r w:rsidRPr="006265EC">
        <w:rPr>
          <w:rFonts w:ascii="Arial" w:hAnsi="Arial" w:cs="Arial"/>
        </w:rPr>
        <w:t>1.1.</w:t>
      </w:r>
      <w:r w:rsidR="00F818DB" w:rsidRPr="006265EC">
        <w:rPr>
          <w:rFonts w:ascii="Arial" w:hAnsi="Arial" w:cs="Arial"/>
        </w:rPr>
        <w:t>2</w:t>
      </w:r>
      <w:r w:rsidRPr="006265EC">
        <w:rPr>
          <w:rFonts w:ascii="Arial" w:hAnsi="Arial" w:cs="Arial"/>
        </w:rPr>
        <w:t xml:space="preserve">) </w:t>
      </w:r>
      <w:r w:rsidR="00D71E19" w:rsidRPr="006265EC">
        <w:rPr>
          <w:rFonts w:ascii="Arial" w:hAnsi="Arial" w:cs="Arial"/>
        </w:rPr>
        <w:t xml:space="preserve">Buffer </w:t>
      </w:r>
      <w:r w:rsidR="00D71E19" w:rsidRPr="006265EC">
        <w:rPr>
          <w:rFonts w:ascii="Arial" w:hAnsi="Arial" w:cs="Arial"/>
          <w:b/>
          <w:bCs/>
        </w:rPr>
        <w:t>B</w:t>
      </w:r>
      <w:r w:rsidR="00D71E19" w:rsidRPr="006265EC">
        <w:rPr>
          <w:rFonts w:ascii="Arial" w:hAnsi="Arial" w:cs="Arial"/>
        </w:rPr>
        <w:t>:</w:t>
      </w:r>
      <w:r w:rsidR="00F818DB" w:rsidRPr="006265EC">
        <w:rPr>
          <w:rFonts w:ascii="Arial" w:hAnsi="Arial" w:cs="Arial"/>
        </w:rPr>
        <w:t xml:space="preserve"> 250 mM HEPES pH 7.4, 750 mM Sodium Chloride, 25 mM Magnesium Chloride, 2.5 mM DTT, 500 </w:t>
      </w:r>
      <w:proofErr w:type="spellStart"/>
      <w:r w:rsidR="00F818DB" w:rsidRPr="006265EC">
        <w:rPr>
          <w:rFonts w:ascii="Arial" w:hAnsi="Arial" w:cs="Arial"/>
        </w:rPr>
        <w:t>nM</w:t>
      </w:r>
      <w:proofErr w:type="spellEnd"/>
      <w:r w:rsidR="00F818DB" w:rsidRPr="006265EC">
        <w:rPr>
          <w:rFonts w:ascii="Arial" w:hAnsi="Arial" w:cs="Arial"/>
        </w:rPr>
        <w:t xml:space="preserve"> GDP, 250 mM Sodium Fluoride, 25 mM Sodium Pyrophosphate, </w:t>
      </w:r>
      <w:r w:rsidR="00F818DB" w:rsidRPr="006265EC">
        <w:rPr>
          <w:rFonts w:ascii="Arial" w:hAnsi="Arial" w:cs="Arial"/>
          <w:color w:val="000000" w:themeColor="text1"/>
        </w:rPr>
        <w:t>5 μg/ml Microcystin-LR (Enzo Life Sciences, ALX-350-</w:t>
      </w:r>
      <w:proofErr w:type="gramStart"/>
      <w:r w:rsidR="00F818DB" w:rsidRPr="006265EC">
        <w:rPr>
          <w:rFonts w:ascii="Arial" w:hAnsi="Arial" w:cs="Arial"/>
          <w:color w:val="000000" w:themeColor="text1"/>
        </w:rPr>
        <w:t>012)</w:t>
      </w:r>
      <w:r w:rsidR="00F818DB" w:rsidRPr="006265EC">
        <w:rPr>
          <w:rFonts w:ascii="Arial" w:hAnsi="Arial" w:cs="Arial"/>
          <w:color w:val="000000" w:themeColor="text1"/>
          <w:vertAlign w:val="superscript"/>
        </w:rPr>
        <w:t>1</w:t>
      </w:r>
      <w:proofErr w:type="gramEnd"/>
      <w:r w:rsidR="00F818DB" w:rsidRPr="006265EC">
        <w:rPr>
          <w:rFonts w:ascii="Arial" w:hAnsi="Arial" w:cs="Arial"/>
          <w:color w:val="000000" w:themeColor="text1"/>
        </w:rPr>
        <w:t>,</w:t>
      </w:r>
      <w:r w:rsidR="001E794C" w:rsidRPr="006265EC">
        <w:rPr>
          <w:rFonts w:ascii="Arial" w:hAnsi="Arial" w:cs="Arial"/>
          <w:color w:val="000000" w:themeColor="text1"/>
        </w:rPr>
        <w:t xml:space="preserve"> </w:t>
      </w:r>
      <w:proofErr w:type="spellStart"/>
      <w:r w:rsidR="001E794C" w:rsidRPr="006265EC">
        <w:rPr>
          <w:rFonts w:ascii="Arial" w:hAnsi="Arial" w:cs="Arial"/>
        </w:rPr>
        <w:t>cOmplete</w:t>
      </w:r>
      <w:r w:rsidR="001E794C" w:rsidRPr="006265EC">
        <w:rPr>
          <w:rFonts w:ascii="Arial" w:hAnsi="Arial" w:cs="Arial"/>
          <w:vertAlign w:val="superscript"/>
        </w:rPr>
        <w:t>TM</w:t>
      </w:r>
      <w:proofErr w:type="spellEnd"/>
      <w:r w:rsidR="001E794C" w:rsidRPr="006265EC">
        <w:rPr>
          <w:rFonts w:ascii="Arial" w:hAnsi="Arial" w:cs="Arial"/>
        </w:rPr>
        <w:t xml:space="preserve"> EDTA-free Protease Inhibitor Cocktail (</w:t>
      </w:r>
      <w:r w:rsidR="006265EC" w:rsidRPr="006265EC">
        <w:rPr>
          <w:rFonts w:ascii="Arial" w:hAnsi="Arial" w:cs="Arial"/>
        </w:rPr>
        <w:t>added fresh before use</w:t>
      </w:r>
      <w:r w:rsidR="006265EC">
        <w:rPr>
          <w:rFonts w:ascii="Arial" w:hAnsi="Arial" w:cs="Arial"/>
        </w:rPr>
        <w:t xml:space="preserve">, </w:t>
      </w:r>
      <w:r w:rsidR="006265EC" w:rsidRPr="006265EC">
        <w:rPr>
          <w:rFonts w:ascii="Arial" w:hAnsi="Arial" w:cs="Arial"/>
        </w:rPr>
        <w:t>Roche, 11836170001</w:t>
      </w:r>
      <w:r w:rsidR="006265EC">
        <w:rPr>
          <w:rFonts w:ascii="Arial" w:hAnsi="Arial" w:cs="Arial"/>
          <w:vertAlign w:val="superscript"/>
        </w:rPr>
        <w:t>)</w:t>
      </w:r>
    </w:p>
    <w:p w14:paraId="1D4C98B3" w14:textId="77777777" w:rsidR="006265EC" w:rsidRPr="006265EC" w:rsidRDefault="006265EC" w:rsidP="006265EC">
      <w:pPr>
        <w:rPr>
          <w:rFonts w:ascii="Arial" w:hAnsi="Arial" w:cs="Arial"/>
        </w:rPr>
      </w:pPr>
    </w:p>
    <w:p w14:paraId="09574890" w14:textId="7703327F" w:rsidR="001E794C" w:rsidRDefault="001E794C" w:rsidP="006265EC">
      <w:pPr>
        <w:rPr>
          <w:rFonts w:ascii="Arial" w:hAnsi="Arial" w:cs="Arial"/>
          <w:b/>
          <w:bCs/>
        </w:rPr>
      </w:pPr>
      <w:r w:rsidRPr="006265EC">
        <w:rPr>
          <w:rFonts w:ascii="Arial" w:hAnsi="Arial" w:cs="Arial"/>
          <w:i/>
          <w:iCs/>
        </w:rPr>
        <w:t>Note:</w:t>
      </w:r>
      <w:r w:rsidRPr="006265EC">
        <w:rPr>
          <w:rFonts w:ascii="Arial" w:hAnsi="Arial" w:cs="Arial"/>
        </w:rPr>
        <w:t xml:space="preserve"> </w:t>
      </w:r>
      <w:r w:rsidR="00F2045D" w:rsidRPr="006265EC">
        <w:rPr>
          <w:rFonts w:ascii="Arial" w:hAnsi="Arial" w:cs="Arial"/>
        </w:rPr>
        <w:t xml:space="preserve">This buffer is prepared at a 5X stock to achieve a final concentration of 1X in the resuspension buffer (4 X Buffer </w:t>
      </w:r>
      <w:r w:rsidR="00F2045D" w:rsidRPr="006265EC">
        <w:rPr>
          <w:rFonts w:ascii="Arial" w:hAnsi="Arial" w:cs="Arial"/>
          <w:b/>
          <w:bCs/>
        </w:rPr>
        <w:t>A</w:t>
      </w:r>
      <w:r w:rsidR="00F2045D" w:rsidRPr="006265EC">
        <w:rPr>
          <w:rFonts w:ascii="Arial" w:hAnsi="Arial" w:cs="Arial"/>
        </w:rPr>
        <w:t xml:space="preserve"> + 1 X Buffer </w:t>
      </w:r>
      <w:r w:rsidR="00F2045D" w:rsidRPr="006265EC">
        <w:rPr>
          <w:rFonts w:ascii="Arial" w:hAnsi="Arial" w:cs="Arial"/>
          <w:b/>
          <w:bCs/>
        </w:rPr>
        <w:t>B)</w:t>
      </w:r>
    </w:p>
    <w:p w14:paraId="1E8AD150" w14:textId="77777777" w:rsidR="006265EC" w:rsidRPr="006265EC" w:rsidRDefault="006265EC" w:rsidP="006265EC">
      <w:pPr>
        <w:rPr>
          <w:rFonts w:ascii="Arial" w:hAnsi="Arial" w:cs="Arial"/>
        </w:rPr>
      </w:pPr>
    </w:p>
    <w:p w14:paraId="67629E4A" w14:textId="2181A644" w:rsidR="00585C99" w:rsidRDefault="00585C99" w:rsidP="006265EC">
      <w:pPr>
        <w:rPr>
          <w:rFonts w:ascii="Arial" w:hAnsi="Arial" w:cs="Arial"/>
          <w:b/>
          <w:bCs/>
        </w:rPr>
      </w:pPr>
      <w:r w:rsidRPr="006265EC">
        <w:rPr>
          <w:rFonts w:ascii="Arial" w:hAnsi="Arial" w:cs="Arial"/>
        </w:rPr>
        <w:t>1.1.</w:t>
      </w:r>
      <w:r w:rsidR="00F818DB" w:rsidRPr="006265EC">
        <w:rPr>
          <w:rFonts w:ascii="Arial" w:hAnsi="Arial" w:cs="Arial"/>
        </w:rPr>
        <w:t>2</w:t>
      </w:r>
      <w:r w:rsidRPr="006265EC">
        <w:rPr>
          <w:rFonts w:ascii="Arial" w:hAnsi="Arial" w:cs="Arial"/>
        </w:rPr>
        <w:t xml:space="preserve">) </w:t>
      </w:r>
      <w:r w:rsidR="00D71E19" w:rsidRPr="006265EC">
        <w:rPr>
          <w:rFonts w:ascii="Arial" w:hAnsi="Arial" w:cs="Arial"/>
        </w:rPr>
        <w:t xml:space="preserve">Buffer </w:t>
      </w:r>
      <w:r w:rsidR="00D71E19" w:rsidRPr="006265EC">
        <w:rPr>
          <w:rFonts w:ascii="Arial" w:hAnsi="Arial" w:cs="Arial"/>
          <w:b/>
          <w:bCs/>
        </w:rPr>
        <w:t>C</w:t>
      </w:r>
      <w:r w:rsidR="00D71E19" w:rsidRPr="006265EC">
        <w:rPr>
          <w:rFonts w:ascii="Arial" w:hAnsi="Arial" w:cs="Arial"/>
        </w:rPr>
        <w:t>:</w:t>
      </w:r>
      <w:r w:rsidR="00F818DB" w:rsidRPr="006265EC">
        <w:rPr>
          <w:rFonts w:ascii="Arial" w:hAnsi="Arial" w:cs="Arial"/>
        </w:rPr>
        <w:t xml:space="preserve"> </w:t>
      </w:r>
      <w:r w:rsidR="00172148" w:rsidRPr="006265EC">
        <w:rPr>
          <w:rFonts w:ascii="Arial" w:hAnsi="Arial" w:cs="Arial"/>
        </w:rPr>
        <w:t xml:space="preserve">50 mM HEPES pH 7.4, </w:t>
      </w:r>
      <w:r w:rsidR="001B27F0" w:rsidRPr="006265EC">
        <w:rPr>
          <w:rFonts w:ascii="Arial" w:hAnsi="Arial" w:cs="Arial"/>
        </w:rPr>
        <w:t>1</w:t>
      </w:r>
      <w:r w:rsidR="00172148" w:rsidRPr="006265EC">
        <w:rPr>
          <w:rFonts w:ascii="Arial" w:hAnsi="Arial" w:cs="Arial"/>
        </w:rPr>
        <w:t xml:space="preserve">50 mM Sodium Chloride, 5 mM Magnesium Chloride, </w:t>
      </w:r>
      <w:r w:rsidR="001B27F0" w:rsidRPr="006265EC">
        <w:rPr>
          <w:rFonts w:ascii="Arial" w:hAnsi="Arial" w:cs="Arial"/>
        </w:rPr>
        <w:t>0.</w:t>
      </w:r>
      <w:r w:rsidR="00172148" w:rsidRPr="006265EC">
        <w:rPr>
          <w:rFonts w:ascii="Arial" w:hAnsi="Arial" w:cs="Arial"/>
        </w:rPr>
        <w:t xml:space="preserve">5 mM DTT, </w:t>
      </w:r>
      <w:r w:rsidR="001B27F0" w:rsidRPr="006265EC">
        <w:rPr>
          <w:rFonts w:ascii="Arial" w:hAnsi="Arial" w:cs="Arial"/>
        </w:rPr>
        <w:t>1</w:t>
      </w:r>
      <w:r w:rsidR="00172148" w:rsidRPr="006265EC">
        <w:rPr>
          <w:rFonts w:ascii="Arial" w:hAnsi="Arial" w:cs="Arial"/>
        </w:rPr>
        <w:t xml:space="preserve">00 </w:t>
      </w:r>
      <w:proofErr w:type="spellStart"/>
      <w:r w:rsidR="00172148" w:rsidRPr="006265EC">
        <w:rPr>
          <w:rFonts w:ascii="Arial" w:hAnsi="Arial" w:cs="Arial"/>
        </w:rPr>
        <w:t>nM</w:t>
      </w:r>
      <w:proofErr w:type="spellEnd"/>
      <w:r w:rsidR="00172148" w:rsidRPr="006265EC">
        <w:rPr>
          <w:rFonts w:ascii="Arial" w:hAnsi="Arial" w:cs="Arial"/>
        </w:rPr>
        <w:t xml:space="preserve"> GDP, 50 mM Sodium Fluoride, 5 mM Sodium Pyrophosphate, </w:t>
      </w:r>
      <w:r w:rsidR="001B27F0" w:rsidRPr="006265EC">
        <w:rPr>
          <w:rFonts w:ascii="Arial" w:hAnsi="Arial" w:cs="Arial"/>
          <w:color w:val="000000" w:themeColor="text1"/>
        </w:rPr>
        <w:t>1</w:t>
      </w:r>
      <w:r w:rsidR="00172148" w:rsidRPr="006265EC">
        <w:rPr>
          <w:rFonts w:ascii="Arial" w:hAnsi="Arial" w:cs="Arial"/>
          <w:color w:val="000000" w:themeColor="text1"/>
        </w:rPr>
        <w:t xml:space="preserve"> μg/ml Microcystin-LR (Enzo Life Sciences, ALX-350-</w:t>
      </w:r>
      <w:proofErr w:type="gramStart"/>
      <w:r w:rsidR="00172148" w:rsidRPr="006265EC">
        <w:rPr>
          <w:rFonts w:ascii="Arial" w:hAnsi="Arial" w:cs="Arial"/>
          <w:color w:val="000000" w:themeColor="text1"/>
        </w:rPr>
        <w:t>012)</w:t>
      </w:r>
      <w:r w:rsidR="00172148" w:rsidRPr="006265EC">
        <w:rPr>
          <w:rFonts w:ascii="Arial" w:hAnsi="Arial" w:cs="Arial"/>
          <w:color w:val="000000" w:themeColor="text1"/>
          <w:vertAlign w:val="superscript"/>
        </w:rPr>
        <w:t>1</w:t>
      </w:r>
      <w:proofErr w:type="gramEnd"/>
      <w:r w:rsidR="00172148" w:rsidRPr="006265EC">
        <w:rPr>
          <w:rFonts w:ascii="Arial" w:hAnsi="Arial" w:cs="Arial"/>
          <w:color w:val="000000" w:themeColor="text1"/>
        </w:rPr>
        <w:t xml:space="preserve">, </w:t>
      </w:r>
      <w:proofErr w:type="spellStart"/>
      <w:r w:rsidR="00172148" w:rsidRPr="006265EC">
        <w:rPr>
          <w:rFonts w:ascii="Arial" w:hAnsi="Arial" w:cs="Arial"/>
        </w:rPr>
        <w:t>cOmplete</w:t>
      </w:r>
      <w:r w:rsidR="00172148" w:rsidRPr="006265EC">
        <w:rPr>
          <w:rFonts w:ascii="Arial" w:hAnsi="Arial" w:cs="Arial"/>
          <w:vertAlign w:val="superscript"/>
        </w:rPr>
        <w:t>TM</w:t>
      </w:r>
      <w:proofErr w:type="spellEnd"/>
      <w:r w:rsidR="00172148" w:rsidRPr="006265EC">
        <w:rPr>
          <w:rFonts w:ascii="Arial" w:hAnsi="Arial" w:cs="Arial"/>
        </w:rPr>
        <w:t xml:space="preserve"> EDTA-free Protease Inhibitor Cocktail (</w:t>
      </w:r>
      <w:r w:rsidR="006265EC" w:rsidRPr="006265EC">
        <w:rPr>
          <w:rFonts w:ascii="Arial" w:hAnsi="Arial" w:cs="Arial"/>
        </w:rPr>
        <w:t>added fresh before use</w:t>
      </w:r>
      <w:r w:rsidR="006265EC">
        <w:rPr>
          <w:rFonts w:ascii="Arial" w:hAnsi="Arial" w:cs="Arial"/>
        </w:rPr>
        <w:t xml:space="preserve">, </w:t>
      </w:r>
      <w:r w:rsidR="006265EC" w:rsidRPr="006265EC">
        <w:rPr>
          <w:rFonts w:ascii="Arial" w:hAnsi="Arial" w:cs="Arial"/>
        </w:rPr>
        <w:t>Roche, 11836170001</w:t>
      </w:r>
      <w:r w:rsidR="00172148" w:rsidRPr="006265EC">
        <w:rPr>
          <w:rFonts w:ascii="Arial" w:hAnsi="Arial" w:cs="Arial"/>
        </w:rPr>
        <w:t>)</w:t>
      </w:r>
      <w:r w:rsidR="001B27F0" w:rsidRPr="006265EC">
        <w:rPr>
          <w:rFonts w:ascii="Arial" w:hAnsi="Arial" w:cs="Arial"/>
        </w:rPr>
        <w:t xml:space="preserve">, </w:t>
      </w:r>
      <w:r w:rsidR="00AE27C0" w:rsidRPr="006265EC">
        <w:rPr>
          <w:rFonts w:ascii="Arial" w:hAnsi="Arial" w:cs="Arial"/>
          <w:b/>
          <w:bCs/>
        </w:rPr>
        <w:t>1</w:t>
      </w:r>
      <w:r w:rsidR="00F818DB" w:rsidRPr="006265EC">
        <w:rPr>
          <w:rFonts w:ascii="Arial" w:hAnsi="Arial" w:cs="Arial"/>
          <w:b/>
          <w:bCs/>
        </w:rPr>
        <w:t xml:space="preserve">% </w:t>
      </w:r>
      <w:r w:rsidR="00AE27C0" w:rsidRPr="006265EC">
        <w:rPr>
          <w:rFonts w:ascii="Arial" w:hAnsi="Arial" w:cs="Arial"/>
          <w:b/>
          <w:bCs/>
        </w:rPr>
        <w:t>(v/v) Triton X-100</w:t>
      </w:r>
    </w:p>
    <w:p w14:paraId="42DF8D27" w14:textId="77777777" w:rsidR="006265EC" w:rsidRPr="006265EC" w:rsidRDefault="006265EC" w:rsidP="006265EC">
      <w:pPr>
        <w:rPr>
          <w:rFonts w:ascii="Arial" w:hAnsi="Arial" w:cs="Arial"/>
        </w:rPr>
      </w:pPr>
    </w:p>
    <w:p w14:paraId="4D5F5E4A" w14:textId="0CC41B29" w:rsidR="00585C99" w:rsidRDefault="00585C99" w:rsidP="006265EC">
      <w:pPr>
        <w:rPr>
          <w:rFonts w:ascii="Arial" w:hAnsi="Arial" w:cs="Arial"/>
        </w:rPr>
      </w:pPr>
      <w:r w:rsidRPr="006265EC">
        <w:rPr>
          <w:rFonts w:ascii="Arial" w:hAnsi="Arial" w:cs="Arial"/>
        </w:rPr>
        <w:t>1.1.</w:t>
      </w:r>
      <w:r w:rsidR="00F818DB" w:rsidRPr="006265EC">
        <w:rPr>
          <w:rFonts w:ascii="Arial" w:hAnsi="Arial" w:cs="Arial"/>
        </w:rPr>
        <w:t>3</w:t>
      </w:r>
      <w:r w:rsidRPr="006265EC">
        <w:rPr>
          <w:rFonts w:ascii="Arial" w:hAnsi="Arial" w:cs="Arial"/>
        </w:rPr>
        <w:t xml:space="preserve">) </w:t>
      </w:r>
      <w:r w:rsidR="00F818DB" w:rsidRPr="006265EC">
        <w:rPr>
          <w:rFonts w:ascii="Arial" w:hAnsi="Arial" w:cs="Arial"/>
        </w:rPr>
        <w:t>Phosphate buffered saline (PBS), pH 7.4 (</w:t>
      </w:r>
      <w:proofErr w:type="spellStart"/>
      <w:r w:rsidR="00F818DB" w:rsidRPr="006265EC">
        <w:rPr>
          <w:rFonts w:ascii="Arial" w:hAnsi="Arial" w:cs="Arial"/>
        </w:rPr>
        <w:t>ThermoFisher</w:t>
      </w:r>
      <w:proofErr w:type="spellEnd"/>
      <w:r w:rsidR="00F818DB" w:rsidRPr="006265EC">
        <w:rPr>
          <w:rFonts w:ascii="Arial" w:hAnsi="Arial" w:cs="Arial"/>
        </w:rPr>
        <w:t xml:space="preserve"> Scientific #10728775)</w:t>
      </w:r>
    </w:p>
    <w:p w14:paraId="05D444C4" w14:textId="77777777" w:rsidR="006265EC" w:rsidRPr="006265EC" w:rsidRDefault="006265EC" w:rsidP="006265EC">
      <w:pPr>
        <w:rPr>
          <w:rFonts w:ascii="Arial" w:hAnsi="Arial" w:cs="Arial"/>
        </w:rPr>
      </w:pPr>
    </w:p>
    <w:p w14:paraId="4B850016" w14:textId="6E336CFD" w:rsidR="00585C99" w:rsidRDefault="00585C99" w:rsidP="006265EC">
      <w:pPr>
        <w:rPr>
          <w:rFonts w:ascii="Arial" w:hAnsi="Arial" w:cs="Arial"/>
        </w:rPr>
      </w:pPr>
      <w:proofErr w:type="gramStart"/>
      <w:r w:rsidRPr="006265EC">
        <w:rPr>
          <w:rFonts w:ascii="Arial" w:hAnsi="Arial" w:cs="Arial"/>
        </w:rPr>
        <w:t>1.1.</w:t>
      </w:r>
      <w:r w:rsidR="00F818DB" w:rsidRPr="006265EC">
        <w:rPr>
          <w:rFonts w:ascii="Arial" w:hAnsi="Arial" w:cs="Arial"/>
        </w:rPr>
        <w:t>4</w:t>
      </w:r>
      <w:r w:rsidRPr="006265EC">
        <w:rPr>
          <w:rFonts w:ascii="Arial" w:hAnsi="Arial" w:cs="Arial"/>
        </w:rPr>
        <w:t>)</w:t>
      </w:r>
      <w:r w:rsidR="00D71E19" w:rsidRPr="006265EC">
        <w:rPr>
          <w:rFonts w:ascii="Arial" w:hAnsi="Arial" w:cs="Arial"/>
        </w:rPr>
        <w:t xml:space="preserve"> Bradford assay kit (Pierce™ Coomassie Plus (Bradford) Assay Kit, </w:t>
      </w:r>
      <w:proofErr w:type="spellStart"/>
      <w:r w:rsidR="00D71E19" w:rsidRPr="006265EC">
        <w:rPr>
          <w:rFonts w:ascii="Arial" w:hAnsi="Arial" w:cs="Arial"/>
        </w:rPr>
        <w:t>ThermoFisher</w:t>
      </w:r>
      <w:proofErr w:type="spellEnd"/>
      <w:r w:rsidR="00D71E19" w:rsidRPr="006265EC">
        <w:rPr>
          <w:rFonts w:ascii="Arial" w:hAnsi="Arial" w:cs="Arial"/>
        </w:rPr>
        <w:t xml:space="preserve"> Scientific 23236, or equivalent).</w:t>
      </w:r>
      <w:proofErr w:type="gramEnd"/>
    </w:p>
    <w:p w14:paraId="3B5EC050" w14:textId="77777777" w:rsidR="006265EC" w:rsidRPr="006265EC" w:rsidRDefault="006265EC" w:rsidP="006265EC">
      <w:pPr>
        <w:rPr>
          <w:rFonts w:ascii="Arial" w:hAnsi="Arial" w:cs="Arial"/>
        </w:rPr>
      </w:pPr>
    </w:p>
    <w:p w14:paraId="486119B1" w14:textId="508F1268" w:rsidR="00585C99" w:rsidRPr="006265EC" w:rsidRDefault="00585C99" w:rsidP="006265EC">
      <w:pPr>
        <w:rPr>
          <w:rFonts w:ascii="Arial" w:hAnsi="Arial" w:cs="Arial"/>
        </w:rPr>
      </w:pPr>
      <w:r w:rsidRPr="006265EC">
        <w:rPr>
          <w:rFonts w:ascii="Arial" w:hAnsi="Arial" w:cs="Arial"/>
        </w:rPr>
        <w:lastRenderedPageBreak/>
        <w:t>1.1.</w:t>
      </w:r>
      <w:r w:rsidR="00F818DB" w:rsidRPr="006265EC">
        <w:rPr>
          <w:rFonts w:ascii="Arial" w:hAnsi="Arial" w:cs="Arial"/>
        </w:rPr>
        <w:t>5</w:t>
      </w:r>
      <w:r w:rsidRPr="006265EC">
        <w:rPr>
          <w:rFonts w:ascii="Arial" w:hAnsi="Arial" w:cs="Arial"/>
        </w:rPr>
        <w:t>) 4X Loading buffer: Invitro</w:t>
      </w:r>
      <w:r w:rsidR="006265EC">
        <w:rPr>
          <w:rFonts w:ascii="Arial" w:hAnsi="Arial" w:cs="Arial"/>
        </w:rPr>
        <w:t xml:space="preserve">gen™ </w:t>
      </w:r>
      <w:proofErr w:type="spellStart"/>
      <w:r w:rsidR="006265EC">
        <w:rPr>
          <w:rFonts w:ascii="Arial" w:hAnsi="Arial" w:cs="Arial"/>
        </w:rPr>
        <w:t>NuPAGE</w:t>
      </w:r>
      <w:proofErr w:type="spellEnd"/>
      <w:r w:rsidR="006265EC">
        <w:rPr>
          <w:rFonts w:ascii="Arial" w:hAnsi="Arial" w:cs="Arial"/>
        </w:rPr>
        <w:t>™ LDS Sample Buffer (#</w:t>
      </w:r>
      <w:r w:rsidRPr="006265EC">
        <w:rPr>
          <w:rFonts w:ascii="Arial" w:hAnsi="Arial" w:cs="Arial"/>
        </w:rPr>
        <w:t>NP0007</w:t>
      </w:r>
      <w:r w:rsidR="006265EC">
        <w:rPr>
          <w:rFonts w:ascii="Arial" w:hAnsi="Arial" w:cs="Arial"/>
        </w:rPr>
        <w:t>)</w:t>
      </w:r>
      <w:r w:rsidRPr="006265EC">
        <w:rPr>
          <w:rFonts w:ascii="Arial" w:hAnsi="Arial" w:cs="Arial"/>
        </w:rPr>
        <w:t>, or 4X SDS loading buffer: 250mM Tris-HCl, pH6.8, 8% (w/v) SDS, 40% (v/v) glycerol, 0.02% (w/v) bromophenol blue.</w:t>
      </w:r>
    </w:p>
    <w:p w14:paraId="50238300" w14:textId="77777777" w:rsidR="00585C99" w:rsidRPr="006265EC" w:rsidRDefault="00585C99" w:rsidP="006265EC">
      <w:pPr>
        <w:rPr>
          <w:rFonts w:ascii="Arial" w:hAnsi="Arial" w:cs="Arial"/>
          <w:color w:val="FF0000"/>
        </w:rPr>
      </w:pPr>
    </w:p>
    <w:p w14:paraId="7D657FD2" w14:textId="77777777" w:rsidR="00585C99" w:rsidRPr="006265EC" w:rsidRDefault="00585C99" w:rsidP="006265EC">
      <w:pPr>
        <w:rPr>
          <w:rFonts w:ascii="Arial" w:hAnsi="Arial" w:cs="Arial"/>
          <w:b/>
        </w:rPr>
      </w:pPr>
      <w:r w:rsidRPr="006265EC">
        <w:rPr>
          <w:rFonts w:ascii="Arial" w:hAnsi="Arial" w:cs="Arial"/>
          <w:b/>
        </w:rPr>
        <w:t>1.2) Equipment:</w:t>
      </w:r>
    </w:p>
    <w:p w14:paraId="42A833AF" w14:textId="543C98AC" w:rsidR="001B27F0" w:rsidRDefault="001B27F0" w:rsidP="006265EC">
      <w:pPr>
        <w:rPr>
          <w:rFonts w:ascii="Arial" w:hAnsi="Arial" w:cs="Arial"/>
          <w:color w:val="000000" w:themeColor="text1"/>
        </w:rPr>
      </w:pPr>
      <w:r w:rsidRPr="006265EC">
        <w:rPr>
          <w:rFonts w:ascii="Arial" w:hAnsi="Arial" w:cs="Arial"/>
        </w:rPr>
        <w:t xml:space="preserve">1.2.1) </w:t>
      </w:r>
      <w:r w:rsidRPr="006265EC">
        <w:rPr>
          <w:rFonts w:ascii="Arial" w:hAnsi="Arial" w:cs="Arial"/>
          <w:color w:val="000000" w:themeColor="text1"/>
        </w:rPr>
        <w:t>Cell lifter (Sigma-Aldrich CLS3008, or equivalent)</w:t>
      </w:r>
    </w:p>
    <w:p w14:paraId="1BC20623" w14:textId="77777777" w:rsidR="006265EC" w:rsidRPr="006265EC" w:rsidRDefault="006265EC" w:rsidP="006265EC">
      <w:pPr>
        <w:rPr>
          <w:rFonts w:ascii="Arial" w:hAnsi="Arial" w:cs="Arial"/>
          <w:color w:val="000000" w:themeColor="text1"/>
        </w:rPr>
      </w:pPr>
    </w:p>
    <w:p w14:paraId="4F5DF400" w14:textId="77777777" w:rsidR="001B27F0" w:rsidRDefault="001B27F0" w:rsidP="006265EC">
      <w:pPr>
        <w:rPr>
          <w:rFonts w:ascii="Arial" w:hAnsi="Arial" w:cs="Arial"/>
        </w:rPr>
      </w:pPr>
      <w:r w:rsidRPr="006265EC">
        <w:rPr>
          <w:rFonts w:ascii="Arial" w:hAnsi="Arial" w:cs="Arial"/>
        </w:rPr>
        <w:t>1.2.2) Refrigerated bench-top centrifuge (Eppendorf centrifuge 5810R, or equivalent)</w:t>
      </w:r>
    </w:p>
    <w:p w14:paraId="7D7224D5" w14:textId="77777777" w:rsidR="006265EC" w:rsidRPr="006265EC" w:rsidRDefault="006265EC" w:rsidP="006265EC">
      <w:pPr>
        <w:rPr>
          <w:rFonts w:ascii="Arial" w:hAnsi="Arial" w:cs="Arial"/>
        </w:rPr>
      </w:pPr>
    </w:p>
    <w:p w14:paraId="39E59FEA" w14:textId="2B6309FB" w:rsidR="00585C99" w:rsidRDefault="00585C99" w:rsidP="006265EC">
      <w:pPr>
        <w:rPr>
          <w:rFonts w:ascii="Arial" w:hAnsi="Arial" w:cs="Arial"/>
        </w:rPr>
      </w:pPr>
      <w:r w:rsidRPr="006265EC">
        <w:rPr>
          <w:rFonts w:ascii="Arial" w:hAnsi="Arial" w:cs="Arial"/>
        </w:rPr>
        <w:t>1.2.</w:t>
      </w:r>
      <w:r w:rsidR="001B27F0" w:rsidRPr="006265EC">
        <w:rPr>
          <w:rFonts w:ascii="Arial" w:hAnsi="Arial" w:cs="Arial"/>
        </w:rPr>
        <w:t>3</w:t>
      </w:r>
      <w:r w:rsidRPr="006265EC">
        <w:rPr>
          <w:rFonts w:ascii="Arial" w:hAnsi="Arial" w:cs="Arial"/>
        </w:rPr>
        <w:t>) Refrigerated bench-top centrifuge (Eppendorf microcentrifuge 5417R, or equivalent)</w:t>
      </w:r>
    </w:p>
    <w:p w14:paraId="1EFC0175" w14:textId="77777777" w:rsidR="006265EC" w:rsidRPr="006265EC" w:rsidRDefault="006265EC" w:rsidP="006265EC">
      <w:pPr>
        <w:rPr>
          <w:rFonts w:ascii="Arial" w:hAnsi="Arial" w:cs="Arial"/>
        </w:rPr>
      </w:pPr>
    </w:p>
    <w:p w14:paraId="6DCE22A1" w14:textId="4A17EEB7" w:rsidR="001B27F0" w:rsidRDefault="001B27F0" w:rsidP="006265EC">
      <w:pPr>
        <w:rPr>
          <w:rFonts w:ascii="Arial" w:hAnsi="Arial" w:cs="Arial"/>
          <w:color w:val="000000" w:themeColor="text1"/>
        </w:rPr>
      </w:pPr>
      <w:r w:rsidRPr="006265EC">
        <w:rPr>
          <w:rFonts w:ascii="Arial" w:hAnsi="Arial" w:cs="Arial"/>
          <w:color w:val="000000" w:themeColor="text1"/>
        </w:rPr>
        <w:t xml:space="preserve">1.2.4) </w:t>
      </w:r>
      <w:proofErr w:type="spellStart"/>
      <w:r w:rsidRPr="006265EC">
        <w:rPr>
          <w:rFonts w:ascii="Arial" w:hAnsi="Arial" w:cs="Arial"/>
          <w:color w:val="000000" w:themeColor="text1"/>
        </w:rPr>
        <w:t>Luer</w:t>
      </w:r>
      <w:proofErr w:type="spellEnd"/>
      <w:r w:rsidRPr="006265EC">
        <w:rPr>
          <w:rFonts w:ascii="Arial" w:hAnsi="Arial" w:cs="Arial"/>
          <w:color w:val="000000" w:themeColor="text1"/>
        </w:rPr>
        <w:t xml:space="preserve"> Slip 1ml IV Syringes (</w:t>
      </w:r>
      <w:proofErr w:type="spellStart"/>
      <w:r w:rsidRPr="006265EC">
        <w:rPr>
          <w:rFonts w:ascii="Arial" w:hAnsi="Arial" w:cs="Arial"/>
          <w:color w:val="000000" w:themeColor="text1"/>
        </w:rPr>
        <w:t>Medicina</w:t>
      </w:r>
      <w:proofErr w:type="spellEnd"/>
      <w:r w:rsidRPr="006265EC">
        <w:rPr>
          <w:rFonts w:ascii="Arial" w:hAnsi="Arial" w:cs="Arial"/>
          <w:color w:val="000000" w:themeColor="text1"/>
        </w:rPr>
        <w:t xml:space="preserve"> IVS01, or equivalent)</w:t>
      </w:r>
    </w:p>
    <w:p w14:paraId="44D0A591" w14:textId="77777777" w:rsidR="006265EC" w:rsidRPr="006265EC" w:rsidRDefault="006265EC" w:rsidP="006265EC">
      <w:pPr>
        <w:rPr>
          <w:rFonts w:ascii="Arial" w:hAnsi="Arial" w:cs="Arial"/>
          <w:color w:val="000000" w:themeColor="text1"/>
        </w:rPr>
      </w:pPr>
    </w:p>
    <w:p w14:paraId="0A32BA92" w14:textId="5E6D32A3" w:rsidR="001B27F0" w:rsidRDefault="001B27F0" w:rsidP="006265EC">
      <w:pPr>
        <w:rPr>
          <w:rFonts w:ascii="Arial" w:hAnsi="Arial" w:cs="Arial"/>
          <w:color w:val="000000" w:themeColor="text1"/>
        </w:rPr>
      </w:pPr>
      <w:r w:rsidRPr="006265EC">
        <w:rPr>
          <w:rFonts w:ascii="Arial" w:hAnsi="Arial" w:cs="Arial"/>
          <w:color w:val="000000" w:themeColor="text1"/>
        </w:rPr>
        <w:t xml:space="preserve">1.2.5) 25G </w:t>
      </w:r>
      <w:proofErr w:type="spellStart"/>
      <w:r w:rsidRPr="006265EC">
        <w:rPr>
          <w:rFonts w:ascii="Arial" w:hAnsi="Arial" w:cs="Arial"/>
          <w:color w:val="000000" w:themeColor="text1"/>
        </w:rPr>
        <w:t>Luer</w:t>
      </w:r>
      <w:proofErr w:type="spellEnd"/>
      <w:r w:rsidRPr="006265EC">
        <w:rPr>
          <w:rFonts w:ascii="Arial" w:hAnsi="Arial" w:cs="Arial"/>
          <w:color w:val="000000" w:themeColor="text1"/>
        </w:rPr>
        <w:t xml:space="preserve"> Needle (</w:t>
      </w:r>
      <w:proofErr w:type="spellStart"/>
      <w:r w:rsidRPr="006265EC">
        <w:rPr>
          <w:rFonts w:ascii="Arial" w:hAnsi="Arial" w:cs="Arial"/>
          <w:color w:val="000000" w:themeColor="text1"/>
        </w:rPr>
        <w:t>Terumo</w:t>
      </w:r>
      <w:r w:rsidRPr="006265EC">
        <w:rPr>
          <w:rFonts w:ascii="Arial" w:hAnsi="Arial" w:cs="Arial"/>
          <w:color w:val="000000" w:themeColor="text1"/>
          <w:vertAlign w:val="superscript"/>
        </w:rPr>
        <w:t>TM</w:t>
      </w:r>
      <w:proofErr w:type="spellEnd"/>
      <w:r w:rsidRPr="006265EC">
        <w:rPr>
          <w:rFonts w:ascii="Arial" w:hAnsi="Arial" w:cs="Arial"/>
          <w:color w:val="000000" w:themeColor="text1"/>
        </w:rPr>
        <w:t xml:space="preserve"> AN-2525R, or equivalent)</w:t>
      </w:r>
    </w:p>
    <w:p w14:paraId="136C9122" w14:textId="77777777" w:rsidR="006265EC" w:rsidRPr="006265EC" w:rsidRDefault="006265EC" w:rsidP="006265EC">
      <w:pPr>
        <w:rPr>
          <w:rFonts w:ascii="Arial" w:hAnsi="Arial" w:cs="Arial"/>
          <w:color w:val="000000" w:themeColor="text1"/>
        </w:rPr>
      </w:pPr>
    </w:p>
    <w:p w14:paraId="71B44046" w14:textId="13C669DA" w:rsidR="001B27F0" w:rsidRDefault="001B27F0" w:rsidP="006265EC">
      <w:pPr>
        <w:rPr>
          <w:rFonts w:ascii="Arial" w:hAnsi="Arial" w:cs="Arial"/>
          <w:color w:val="000000" w:themeColor="text1"/>
        </w:rPr>
      </w:pPr>
      <w:r w:rsidRPr="006265EC">
        <w:rPr>
          <w:rFonts w:ascii="Arial" w:hAnsi="Arial" w:cs="Arial"/>
          <w:color w:val="000000" w:themeColor="text1"/>
        </w:rPr>
        <w:t>1.2.6) Thick-walled Polycarbonate Tubes (Beckman Coulter 343775, or equivalent)</w:t>
      </w:r>
    </w:p>
    <w:p w14:paraId="47087694" w14:textId="77777777" w:rsidR="006265EC" w:rsidRPr="006265EC" w:rsidRDefault="006265EC" w:rsidP="006265EC">
      <w:pPr>
        <w:rPr>
          <w:rFonts w:ascii="Arial" w:hAnsi="Arial" w:cs="Arial"/>
        </w:rPr>
      </w:pPr>
    </w:p>
    <w:p w14:paraId="16D7C74B" w14:textId="77777777" w:rsidR="001B27F0" w:rsidRDefault="00585C99" w:rsidP="006265EC">
      <w:pPr>
        <w:rPr>
          <w:rFonts w:ascii="Arial" w:hAnsi="Arial" w:cs="Arial"/>
        </w:rPr>
      </w:pPr>
      <w:r w:rsidRPr="006265EC">
        <w:rPr>
          <w:rFonts w:ascii="Arial" w:hAnsi="Arial" w:cs="Arial"/>
        </w:rPr>
        <w:t>1.2.</w:t>
      </w:r>
      <w:r w:rsidR="001B27F0" w:rsidRPr="006265EC">
        <w:rPr>
          <w:rFonts w:ascii="Arial" w:hAnsi="Arial" w:cs="Arial"/>
        </w:rPr>
        <w:t>7</w:t>
      </w:r>
      <w:r w:rsidRPr="006265EC">
        <w:rPr>
          <w:rFonts w:ascii="Arial" w:hAnsi="Arial" w:cs="Arial"/>
        </w:rPr>
        <w:t xml:space="preserve">) </w:t>
      </w:r>
      <w:r w:rsidR="00D71E19" w:rsidRPr="006265EC">
        <w:rPr>
          <w:rFonts w:ascii="Arial" w:hAnsi="Arial" w:cs="Arial"/>
        </w:rPr>
        <w:t>Ultracentrifuge</w:t>
      </w:r>
      <w:r w:rsidR="00F2045D" w:rsidRPr="006265EC">
        <w:rPr>
          <w:rFonts w:ascii="Arial" w:hAnsi="Arial" w:cs="Arial"/>
        </w:rPr>
        <w:t xml:space="preserve"> </w:t>
      </w:r>
      <w:r w:rsidR="00172148" w:rsidRPr="006265EC">
        <w:rPr>
          <w:rFonts w:ascii="Arial" w:hAnsi="Arial" w:cs="Arial"/>
        </w:rPr>
        <w:t>(</w:t>
      </w:r>
      <w:r w:rsidR="001B27F0" w:rsidRPr="006265EC">
        <w:rPr>
          <w:rFonts w:ascii="Arial" w:hAnsi="Arial" w:cs="Arial"/>
        </w:rPr>
        <w:t xml:space="preserve">Beckman Coulter </w:t>
      </w:r>
      <w:r w:rsidR="00172148" w:rsidRPr="006265EC">
        <w:rPr>
          <w:rFonts w:ascii="Arial" w:hAnsi="Arial" w:cs="Arial"/>
        </w:rPr>
        <w:t>Optima TLX, or equivalent)</w:t>
      </w:r>
    </w:p>
    <w:p w14:paraId="2AB9F292" w14:textId="77777777" w:rsidR="006265EC" w:rsidRPr="006265EC" w:rsidRDefault="006265EC" w:rsidP="006265EC">
      <w:pPr>
        <w:rPr>
          <w:rFonts w:ascii="Arial" w:hAnsi="Arial" w:cs="Arial"/>
        </w:rPr>
      </w:pPr>
    </w:p>
    <w:p w14:paraId="7AA5CB0E" w14:textId="341EAA43" w:rsidR="00F2045D" w:rsidRDefault="001B27F0" w:rsidP="006265EC">
      <w:pPr>
        <w:rPr>
          <w:rFonts w:ascii="Arial" w:hAnsi="Arial" w:cs="Arial"/>
        </w:rPr>
      </w:pPr>
      <w:r w:rsidRPr="006265EC">
        <w:rPr>
          <w:rFonts w:ascii="Arial" w:hAnsi="Arial" w:cs="Arial"/>
        </w:rPr>
        <w:t>1.2.8) Ultracentrifuge rotor (Beckman Coulter TLS.55 or equivalent)</w:t>
      </w:r>
    </w:p>
    <w:p w14:paraId="3A9B869C" w14:textId="77777777" w:rsidR="006265EC" w:rsidRPr="006265EC" w:rsidRDefault="006265EC" w:rsidP="006265EC">
      <w:pPr>
        <w:rPr>
          <w:rFonts w:ascii="Arial" w:hAnsi="Arial" w:cs="Arial"/>
        </w:rPr>
      </w:pPr>
    </w:p>
    <w:p w14:paraId="3229D018" w14:textId="2575AC36" w:rsidR="00585C99" w:rsidRPr="006265EC" w:rsidRDefault="00F2045D" w:rsidP="006265EC">
      <w:pPr>
        <w:rPr>
          <w:rFonts w:ascii="Arial" w:hAnsi="Arial" w:cs="Arial"/>
        </w:rPr>
      </w:pPr>
      <w:r w:rsidRPr="006265EC">
        <w:rPr>
          <w:rFonts w:ascii="Arial" w:hAnsi="Arial" w:cs="Arial"/>
        </w:rPr>
        <w:t>1.2.</w:t>
      </w:r>
      <w:r w:rsidR="00035362" w:rsidRPr="006265EC">
        <w:rPr>
          <w:rFonts w:ascii="Arial" w:hAnsi="Arial" w:cs="Arial"/>
        </w:rPr>
        <w:t>9</w:t>
      </w:r>
      <w:r w:rsidRPr="006265EC">
        <w:rPr>
          <w:rFonts w:ascii="Arial" w:hAnsi="Arial" w:cs="Arial"/>
        </w:rPr>
        <w:t>) Plate reader for Protein quantification (</w:t>
      </w:r>
      <w:proofErr w:type="spellStart"/>
      <w:r w:rsidRPr="006265EC">
        <w:rPr>
          <w:rFonts w:ascii="Arial" w:hAnsi="Arial" w:cs="Arial"/>
        </w:rPr>
        <w:t>BioTek</w:t>
      </w:r>
      <w:proofErr w:type="spellEnd"/>
      <w:r w:rsidRPr="006265EC">
        <w:rPr>
          <w:rFonts w:ascii="Arial" w:hAnsi="Arial" w:cs="Arial"/>
        </w:rPr>
        <w:t xml:space="preserve"> Epoch, or equivalent)</w:t>
      </w:r>
    </w:p>
    <w:p w14:paraId="52C235BE" w14:textId="77777777" w:rsidR="00585C99" w:rsidRPr="006265EC" w:rsidRDefault="00585C99" w:rsidP="006265EC">
      <w:pPr>
        <w:rPr>
          <w:rFonts w:ascii="Arial" w:hAnsi="Arial" w:cs="Arial"/>
        </w:rPr>
      </w:pPr>
    </w:p>
    <w:p w14:paraId="7F948ADE" w14:textId="77777777" w:rsidR="00585C99" w:rsidRDefault="00585C99" w:rsidP="006265EC">
      <w:pPr>
        <w:rPr>
          <w:rFonts w:ascii="Arial" w:hAnsi="Arial" w:cs="Arial"/>
          <w:b/>
        </w:rPr>
      </w:pPr>
      <w:r w:rsidRPr="006265EC">
        <w:rPr>
          <w:rFonts w:ascii="Arial" w:hAnsi="Arial" w:cs="Arial"/>
          <w:b/>
        </w:rPr>
        <w:t>2) METHOD:</w:t>
      </w:r>
    </w:p>
    <w:p w14:paraId="510BAA27" w14:textId="77777777" w:rsidR="006265EC" w:rsidRPr="006265EC" w:rsidRDefault="006265EC" w:rsidP="006265EC">
      <w:pPr>
        <w:rPr>
          <w:rFonts w:ascii="Arial" w:hAnsi="Arial" w:cs="Arial"/>
          <w:b/>
        </w:rPr>
      </w:pPr>
    </w:p>
    <w:p w14:paraId="00A0667B" w14:textId="166F0406" w:rsidR="00585C99" w:rsidRDefault="00585C99" w:rsidP="006265EC">
      <w:pPr>
        <w:rPr>
          <w:rFonts w:ascii="Arial" w:hAnsi="Arial" w:cs="Arial"/>
          <w:b/>
        </w:rPr>
      </w:pPr>
      <w:r w:rsidRPr="006265EC">
        <w:rPr>
          <w:rFonts w:ascii="Arial" w:hAnsi="Arial" w:cs="Arial"/>
          <w:b/>
        </w:rPr>
        <w:t xml:space="preserve">2.1) </w:t>
      </w:r>
      <w:r w:rsidR="001E794C" w:rsidRPr="006265EC">
        <w:rPr>
          <w:rFonts w:ascii="Arial" w:hAnsi="Arial" w:cs="Arial"/>
          <w:b/>
        </w:rPr>
        <w:t>Crude Membrane Fractionation</w:t>
      </w:r>
    </w:p>
    <w:p w14:paraId="478B702F" w14:textId="77777777" w:rsidR="006265EC" w:rsidRPr="006265EC" w:rsidRDefault="006265EC" w:rsidP="006265EC">
      <w:pPr>
        <w:rPr>
          <w:rFonts w:ascii="Arial" w:hAnsi="Arial" w:cs="Arial"/>
          <w:b/>
        </w:rPr>
      </w:pPr>
    </w:p>
    <w:p w14:paraId="001374B2" w14:textId="39149409" w:rsidR="001E794C" w:rsidRDefault="001E794C" w:rsidP="006265EC">
      <w:pPr>
        <w:rPr>
          <w:rFonts w:ascii="Arial" w:hAnsi="Arial" w:cs="Arial"/>
        </w:rPr>
      </w:pPr>
      <w:r w:rsidRPr="006265EC">
        <w:rPr>
          <w:rFonts w:ascii="Arial" w:hAnsi="Arial" w:cs="Arial"/>
          <w:i/>
          <w:iCs/>
        </w:rPr>
        <w:t xml:space="preserve">Note: </w:t>
      </w:r>
      <w:r w:rsidR="00F2045D" w:rsidRPr="006265EC">
        <w:rPr>
          <w:rFonts w:ascii="Arial" w:hAnsi="Arial" w:cs="Arial"/>
        </w:rPr>
        <w:t>The optimal quantity of cultured cells to use to achieve an ideal yield will vary dependent on cell type. As a guideline, we use 1 x 15cm dish of HEK293 cells per replicate seeded at 1.8 x 10</w:t>
      </w:r>
      <w:r w:rsidR="00F2045D" w:rsidRPr="006265EC">
        <w:rPr>
          <w:rFonts w:ascii="Arial" w:hAnsi="Arial" w:cs="Arial"/>
          <w:vertAlign w:val="superscript"/>
        </w:rPr>
        <w:t>7</w:t>
      </w:r>
      <w:r w:rsidR="006856F9" w:rsidRPr="006265EC">
        <w:rPr>
          <w:rFonts w:ascii="Arial" w:hAnsi="Arial" w:cs="Arial"/>
        </w:rPr>
        <w:t xml:space="preserve"> cells per dish.</w:t>
      </w:r>
    </w:p>
    <w:p w14:paraId="4B5BA8FE" w14:textId="77777777" w:rsidR="006265EC" w:rsidRPr="006265EC" w:rsidRDefault="006265EC" w:rsidP="006265EC">
      <w:pPr>
        <w:rPr>
          <w:rFonts w:ascii="Arial" w:hAnsi="Arial" w:cs="Arial"/>
          <w:bCs/>
        </w:rPr>
      </w:pPr>
    </w:p>
    <w:p w14:paraId="24882BAA" w14:textId="4ED661BC" w:rsidR="00585C99" w:rsidRDefault="00585C99" w:rsidP="006265EC">
      <w:pPr>
        <w:rPr>
          <w:rFonts w:ascii="Arial" w:hAnsi="Arial" w:cs="Arial"/>
        </w:rPr>
      </w:pPr>
      <w:r w:rsidRPr="006265EC">
        <w:rPr>
          <w:rFonts w:ascii="Arial" w:hAnsi="Arial" w:cs="Arial"/>
          <w:bCs/>
        </w:rPr>
        <w:t xml:space="preserve">2.1.1) </w:t>
      </w:r>
      <w:r w:rsidR="001E794C" w:rsidRPr="006265EC">
        <w:rPr>
          <w:rFonts w:ascii="Arial" w:hAnsi="Arial" w:cs="Arial"/>
          <w:bCs/>
        </w:rPr>
        <w:t xml:space="preserve">Pour off media from the culture dish </w:t>
      </w:r>
      <w:r w:rsidR="001E794C" w:rsidRPr="006265EC">
        <w:rPr>
          <w:rFonts w:ascii="Arial" w:hAnsi="Arial" w:cs="Arial"/>
        </w:rPr>
        <w:t xml:space="preserve">and aspirate </w:t>
      </w:r>
      <w:r w:rsidR="006265EC">
        <w:rPr>
          <w:rFonts w:ascii="Arial" w:hAnsi="Arial" w:cs="Arial"/>
        </w:rPr>
        <w:t>completely by holding plate on edge</w:t>
      </w:r>
      <w:r w:rsidR="001E794C" w:rsidRPr="006265EC">
        <w:rPr>
          <w:rFonts w:ascii="Arial" w:hAnsi="Arial" w:cs="Arial"/>
        </w:rPr>
        <w:t xml:space="preserve">. Wash cells </w:t>
      </w:r>
      <w:r w:rsidR="00F2045D" w:rsidRPr="006265EC">
        <w:rPr>
          <w:rFonts w:ascii="Arial" w:hAnsi="Arial" w:cs="Arial"/>
        </w:rPr>
        <w:t xml:space="preserve">twice </w:t>
      </w:r>
      <w:r w:rsidR="001E794C" w:rsidRPr="006265EC">
        <w:rPr>
          <w:rFonts w:ascii="Arial" w:hAnsi="Arial" w:cs="Arial"/>
        </w:rPr>
        <w:t>with 5 ml of ice-cold PBS.</w:t>
      </w:r>
    </w:p>
    <w:p w14:paraId="3BFA154C" w14:textId="77777777" w:rsidR="006265EC" w:rsidRPr="006265EC" w:rsidRDefault="006265EC" w:rsidP="006265EC">
      <w:pPr>
        <w:rPr>
          <w:rFonts w:ascii="Arial" w:hAnsi="Arial" w:cs="Arial"/>
        </w:rPr>
      </w:pPr>
    </w:p>
    <w:p w14:paraId="71BA24B6" w14:textId="4E06A638" w:rsidR="00F2045D" w:rsidRDefault="00585C99" w:rsidP="006265EC">
      <w:pPr>
        <w:rPr>
          <w:rFonts w:ascii="Arial" w:hAnsi="Arial" w:cs="Arial"/>
          <w:bCs/>
        </w:rPr>
      </w:pPr>
      <w:r w:rsidRPr="006265EC">
        <w:rPr>
          <w:rFonts w:ascii="Arial" w:hAnsi="Arial" w:cs="Arial"/>
          <w:bCs/>
        </w:rPr>
        <w:t xml:space="preserve">2.1.2) </w:t>
      </w:r>
      <w:proofErr w:type="gramStart"/>
      <w:r w:rsidR="00F2045D" w:rsidRPr="006265EC">
        <w:rPr>
          <w:rFonts w:ascii="Arial" w:hAnsi="Arial" w:cs="Arial"/>
          <w:bCs/>
        </w:rPr>
        <w:t>Immediately</w:t>
      </w:r>
      <w:proofErr w:type="gramEnd"/>
      <w:r w:rsidR="00F2045D" w:rsidRPr="006265EC">
        <w:rPr>
          <w:rFonts w:ascii="Arial" w:hAnsi="Arial" w:cs="Arial"/>
          <w:bCs/>
        </w:rPr>
        <w:t xml:space="preserve"> transfer the dishes to ice</w:t>
      </w:r>
      <w:r w:rsidR="006265EC">
        <w:rPr>
          <w:rFonts w:ascii="Arial" w:hAnsi="Arial" w:cs="Arial"/>
          <w:bCs/>
        </w:rPr>
        <w:t>--</w:t>
      </w:r>
      <w:r w:rsidR="00EA1988">
        <w:rPr>
          <w:rFonts w:ascii="Arial" w:hAnsi="Arial" w:cs="Arial"/>
          <w:bCs/>
        </w:rPr>
        <w:t xml:space="preserve">this is best accomplished using wet paper towel-covered steel blocks resting on ice </w:t>
      </w:r>
    </w:p>
    <w:p w14:paraId="11704131" w14:textId="77777777" w:rsidR="006265EC" w:rsidRPr="006265EC" w:rsidRDefault="006265EC" w:rsidP="006265EC">
      <w:pPr>
        <w:rPr>
          <w:rFonts w:ascii="Arial" w:hAnsi="Arial" w:cs="Arial"/>
          <w:bCs/>
        </w:rPr>
      </w:pPr>
    </w:p>
    <w:p w14:paraId="4C17A462" w14:textId="57F2E4DE" w:rsidR="00585C99" w:rsidRDefault="00585C99" w:rsidP="006265EC">
      <w:pPr>
        <w:rPr>
          <w:rFonts w:ascii="Arial" w:hAnsi="Arial" w:cs="Arial"/>
          <w:bCs/>
        </w:rPr>
      </w:pPr>
      <w:r w:rsidRPr="006265EC">
        <w:rPr>
          <w:rFonts w:ascii="Arial" w:hAnsi="Arial" w:cs="Arial"/>
          <w:bCs/>
        </w:rPr>
        <w:t xml:space="preserve">2.1.3) </w:t>
      </w:r>
      <w:r w:rsidR="00F2045D" w:rsidRPr="006265EC">
        <w:rPr>
          <w:rFonts w:ascii="Arial" w:hAnsi="Arial" w:cs="Arial"/>
          <w:bCs/>
        </w:rPr>
        <w:t>Ad</w:t>
      </w:r>
      <w:r w:rsidR="00EA1988">
        <w:rPr>
          <w:rFonts w:ascii="Arial" w:hAnsi="Arial" w:cs="Arial"/>
          <w:bCs/>
        </w:rPr>
        <w:t xml:space="preserve">d 5 ml of ice-cold PBS </w:t>
      </w:r>
      <w:r w:rsidR="00F2045D" w:rsidRPr="006265EC">
        <w:rPr>
          <w:rFonts w:ascii="Arial" w:hAnsi="Arial" w:cs="Arial"/>
          <w:bCs/>
        </w:rPr>
        <w:t xml:space="preserve">and scrape the cells </w:t>
      </w:r>
      <w:r w:rsidR="00EA1988">
        <w:rPr>
          <w:rFonts w:ascii="Arial" w:hAnsi="Arial" w:cs="Arial"/>
          <w:bCs/>
        </w:rPr>
        <w:t>from</w:t>
      </w:r>
      <w:r w:rsidR="00F2045D" w:rsidRPr="006265EC">
        <w:rPr>
          <w:rFonts w:ascii="Arial" w:hAnsi="Arial" w:cs="Arial"/>
          <w:bCs/>
        </w:rPr>
        <w:t xml:space="preserve"> the dish using a cell lifter (Sigma-Aldrich CLS3008, </w:t>
      </w:r>
      <w:r w:rsidR="00EA1988">
        <w:rPr>
          <w:rFonts w:ascii="Arial" w:hAnsi="Arial" w:cs="Arial"/>
          <w:bCs/>
        </w:rPr>
        <w:t xml:space="preserve">rubber tipped scraper, </w:t>
      </w:r>
      <w:r w:rsidR="00F2045D" w:rsidRPr="006265EC">
        <w:rPr>
          <w:rFonts w:ascii="Arial" w:hAnsi="Arial" w:cs="Arial"/>
          <w:bCs/>
        </w:rPr>
        <w:t xml:space="preserve">or equivalent) to ensure </w:t>
      </w:r>
      <w:r w:rsidR="00EA1988">
        <w:rPr>
          <w:rFonts w:ascii="Arial" w:hAnsi="Arial" w:cs="Arial"/>
          <w:bCs/>
        </w:rPr>
        <w:t>good yield;</w:t>
      </w:r>
      <w:r w:rsidR="00F2045D" w:rsidRPr="006265EC">
        <w:rPr>
          <w:rFonts w:ascii="Arial" w:hAnsi="Arial" w:cs="Arial"/>
          <w:bCs/>
        </w:rPr>
        <w:t xml:space="preserve"> collect in a 15 ml tube</w:t>
      </w:r>
    </w:p>
    <w:p w14:paraId="702391BA" w14:textId="77777777" w:rsidR="00EA1988" w:rsidRPr="006265EC" w:rsidRDefault="00EA1988" w:rsidP="006265EC">
      <w:pPr>
        <w:rPr>
          <w:rFonts w:ascii="Arial" w:hAnsi="Arial" w:cs="Arial"/>
          <w:bCs/>
        </w:rPr>
      </w:pPr>
    </w:p>
    <w:p w14:paraId="420A2349" w14:textId="6FC1CFE0" w:rsidR="00585C99" w:rsidRDefault="00585C99" w:rsidP="006265EC">
      <w:pPr>
        <w:rPr>
          <w:rFonts w:ascii="Arial" w:hAnsi="Arial" w:cs="Arial"/>
          <w:bCs/>
        </w:rPr>
      </w:pPr>
      <w:r w:rsidRPr="006265EC">
        <w:rPr>
          <w:rFonts w:ascii="Arial" w:hAnsi="Arial" w:cs="Arial"/>
          <w:bCs/>
        </w:rPr>
        <w:t xml:space="preserve">2.1.4) </w:t>
      </w:r>
      <w:r w:rsidR="0021225E" w:rsidRPr="006265EC">
        <w:rPr>
          <w:rFonts w:ascii="Arial" w:hAnsi="Arial" w:cs="Arial"/>
          <w:bCs/>
        </w:rPr>
        <w:t xml:space="preserve">Pellet intact cells by centrifugation at </w:t>
      </w:r>
      <w:proofErr w:type="gramStart"/>
      <w:r w:rsidR="0021225E" w:rsidRPr="006265EC">
        <w:rPr>
          <w:rFonts w:ascii="Arial" w:hAnsi="Arial" w:cs="Arial"/>
          <w:bCs/>
        </w:rPr>
        <w:t xml:space="preserve">100 </w:t>
      </w:r>
      <w:r w:rsidR="00445B76" w:rsidRPr="006265EC">
        <w:rPr>
          <w:rFonts w:ascii="Arial" w:hAnsi="Arial" w:cs="Arial"/>
          <w:bCs/>
        </w:rPr>
        <w:t>x</w:t>
      </w:r>
      <w:proofErr w:type="gramEnd"/>
      <w:r w:rsidR="00445B76" w:rsidRPr="006265EC">
        <w:rPr>
          <w:rFonts w:ascii="Arial" w:hAnsi="Arial" w:cs="Arial"/>
          <w:bCs/>
        </w:rPr>
        <w:t xml:space="preserve"> g </w:t>
      </w:r>
      <w:r w:rsidR="0021225E" w:rsidRPr="006265EC">
        <w:rPr>
          <w:rFonts w:ascii="Arial" w:hAnsi="Arial" w:cs="Arial"/>
          <w:bCs/>
        </w:rPr>
        <w:t>for 5 min at 4</w:t>
      </w:r>
      <w:r w:rsidR="0021225E" w:rsidRPr="006265EC">
        <w:rPr>
          <w:rFonts w:ascii="Arial" w:hAnsi="Arial" w:cs="Arial"/>
          <w:bCs/>
          <w:vertAlign w:val="superscript"/>
        </w:rPr>
        <w:t>o</w:t>
      </w:r>
      <w:r w:rsidR="0021225E" w:rsidRPr="006265EC">
        <w:rPr>
          <w:rFonts w:ascii="Arial" w:hAnsi="Arial" w:cs="Arial"/>
          <w:bCs/>
        </w:rPr>
        <w:t>C and aspirate supernatant</w:t>
      </w:r>
    </w:p>
    <w:p w14:paraId="1C42FE41" w14:textId="77777777" w:rsidR="00EA1988" w:rsidRPr="006265EC" w:rsidRDefault="00EA1988" w:rsidP="006265EC">
      <w:pPr>
        <w:rPr>
          <w:rFonts w:ascii="Arial" w:hAnsi="Arial" w:cs="Arial"/>
          <w:bCs/>
        </w:rPr>
      </w:pPr>
    </w:p>
    <w:p w14:paraId="19F87FA3" w14:textId="55CE3474" w:rsidR="00585C99" w:rsidRDefault="0021225E" w:rsidP="006265EC">
      <w:pPr>
        <w:rPr>
          <w:rFonts w:ascii="Arial" w:hAnsi="Arial" w:cs="Arial"/>
          <w:bCs/>
        </w:rPr>
      </w:pPr>
      <w:r w:rsidRPr="006265EC">
        <w:rPr>
          <w:rFonts w:ascii="Arial" w:hAnsi="Arial" w:cs="Arial"/>
          <w:bCs/>
        </w:rPr>
        <w:t xml:space="preserve">2.1.5) Resuspend cells in 400 µl of Buffer </w:t>
      </w:r>
      <w:r w:rsidRPr="006265EC">
        <w:rPr>
          <w:rFonts w:ascii="Arial" w:hAnsi="Arial" w:cs="Arial"/>
          <w:b/>
        </w:rPr>
        <w:t>A</w:t>
      </w:r>
      <w:r w:rsidRPr="006265EC">
        <w:rPr>
          <w:rFonts w:ascii="Arial" w:hAnsi="Arial" w:cs="Arial"/>
          <w:bCs/>
        </w:rPr>
        <w:t xml:space="preserve"> </w:t>
      </w:r>
      <w:r w:rsidR="00EA1988">
        <w:rPr>
          <w:rFonts w:ascii="Arial" w:hAnsi="Arial" w:cs="Arial"/>
          <w:bCs/>
        </w:rPr>
        <w:t>by gentle pipetting;</w:t>
      </w:r>
      <w:r w:rsidR="00172148" w:rsidRPr="006265EC">
        <w:rPr>
          <w:rFonts w:ascii="Arial" w:hAnsi="Arial" w:cs="Arial"/>
          <w:bCs/>
        </w:rPr>
        <w:t xml:space="preserve"> transfer to a</w:t>
      </w:r>
      <w:r w:rsidR="006856F9" w:rsidRPr="006265EC">
        <w:rPr>
          <w:rFonts w:ascii="Arial" w:hAnsi="Arial" w:cs="Arial"/>
          <w:bCs/>
        </w:rPr>
        <w:t>n</w:t>
      </w:r>
      <w:r w:rsidR="00172148" w:rsidRPr="006265EC">
        <w:rPr>
          <w:rFonts w:ascii="Arial" w:hAnsi="Arial" w:cs="Arial"/>
          <w:bCs/>
        </w:rPr>
        <w:t xml:space="preserve"> </w:t>
      </w:r>
      <w:r w:rsidR="00EA1988">
        <w:rPr>
          <w:rFonts w:ascii="Arial" w:hAnsi="Arial" w:cs="Arial"/>
          <w:bCs/>
        </w:rPr>
        <w:t xml:space="preserve">1.5ml </w:t>
      </w:r>
      <w:proofErr w:type="spellStart"/>
      <w:r w:rsidR="00172148" w:rsidRPr="006265EC">
        <w:rPr>
          <w:rFonts w:ascii="Arial" w:hAnsi="Arial" w:cs="Arial"/>
          <w:bCs/>
        </w:rPr>
        <w:t>Eppendorf</w:t>
      </w:r>
      <w:proofErr w:type="spellEnd"/>
      <w:r w:rsidR="00172148" w:rsidRPr="006265EC">
        <w:rPr>
          <w:rFonts w:ascii="Arial" w:hAnsi="Arial" w:cs="Arial"/>
          <w:bCs/>
        </w:rPr>
        <w:t xml:space="preserve"> tube </w:t>
      </w:r>
      <w:r w:rsidRPr="006265EC">
        <w:rPr>
          <w:rFonts w:ascii="Arial" w:hAnsi="Arial" w:cs="Arial"/>
          <w:bCs/>
        </w:rPr>
        <w:t xml:space="preserve">and incubate </w:t>
      </w:r>
      <w:r w:rsidR="00172148" w:rsidRPr="006265EC">
        <w:rPr>
          <w:rFonts w:ascii="Arial" w:hAnsi="Arial" w:cs="Arial"/>
          <w:bCs/>
        </w:rPr>
        <w:t xml:space="preserve">on ice </w:t>
      </w:r>
      <w:r w:rsidRPr="006265EC">
        <w:rPr>
          <w:rFonts w:ascii="Arial" w:hAnsi="Arial" w:cs="Arial"/>
          <w:bCs/>
        </w:rPr>
        <w:t>for 15 min.</w:t>
      </w:r>
      <w:r w:rsidR="00EA1988">
        <w:rPr>
          <w:rFonts w:ascii="Arial" w:hAnsi="Arial" w:cs="Arial"/>
          <w:bCs/>
        </w:rPr>
        <w:t xml:space="preserve">  [Note that t</w:t>
      </w:r>
      <w:r w:rsidR="00EA1988" w:rsidRPr="006265EC">
        <w:rPr>
          <w:rFonts w:ascii="Arial" w:hAnsi="Arial" w:cs="Arial"/>
          <w:bCs/>
        </w:rPr>
        <w:t>his is a hypotonic solution and will swell the cells</w:t>
      </w:r>
      <w:r w:rsidR="00EA1988">
        <w:rPr>
          <w:rFonts w:ascii="Arial" w:hAnsi="Arial" w:cs="Arial"/>
          <w:bCs/>
        </w:rPr>
        <w:t>; 5 min. is likely sufficient at this stage].</w:t>
      </w:r>
    </w:p>
    <w:p w14:paraId="7950A6C1" w14:textId="77777777" w:rsidR="00EA1988" w:rsidRPr="006265EC" w:rsidRDefault="00EA1988" w:rsidP="006265EC">
      <w:pPr>
        <w:rPr>
          <w:rFonts w:ascii="Arial" w:hAnsi="Arial" w:cs="Arial"/>
          <w:bCs/>
        </w:rPr>
      </w:pPr>
    </w:p>
    <w:p w14:paraId="7A059704" w14:textId="62BF1AA8" w:rsidR="00172148" w:rsidRPr="006265EC" w:rsidRDefault="00172148" w:rsidP="006265EC">
      <w:pPr>
        <w:rPr>
          <w:rFonts w:ascii="Arial" w:hAnsi="Arial" w:cs="Arial"/>
          <w:bCs/>
        </w:rPr>
      </w:pPr>
      <w:r w:rsidRPr="006265EC">
        <w:rPr>
          <w:rFonts w:ascii="Arial" w:hAnsi="Arial" w:cs="Arial"/>
          <w:bCs/>
        </w:rPr>
        <w:t xml:space="preserve">2.1.6) Add 100 µl of </w:t>
      </w:r>
      <w:r w:rsidR="00EA1988">
        <w:rPr>
          <w:rFonts w:ascii="Arial" w:hAnsi="Arial" w:cs="Arial"/>
          <w:bCs/>
        </w:rPr>
        <w:t xml:space="preserve">cold </w:t>
      </w:r>
      <w:r w:rsidRPr="006265EC">
        <w:rPr>
          <w:rFonts w:ascii="Arial" w:hAnsi="Arial" w:cs="Arial"/>
          <w:bCs/>
        </w:rPr>
        <w:t xml:space="preserve">Buffer </w:t>
      </w:r>
      <w:r w:rsidRPr="006265EC">
        <w:rPr>
          <w:rFonts w:ascii="Arial" w:hAnsi="Arial" w:cs="Arial"/>
          <w:b/>
        </w:rPr>
        <w:t xml:space="preserve">B </w:t>
      </w:r>
      <w:r w:rsidRPr="006265EC">
        <w:rPr>
          <w:rFonts w:ascii="Arial" w:hAnsi="Arial" w:cs="Arial"/>
          <w:bCs/>
        </w:rPr>
        <w:t>to the cell suspension</w:t>
      </w:r>
    </w:p>
    <w:p w14:paraId="0CB8EDA3" w14:textId="77777777" w:rsidR="003E4A9B" w:rsidRDefault="00172148" w:rsidP="006265EC">
      <w:pPr>
        <w:rPr>
          <w:rFonts w:ascii="Arial" w:hAnsi="Arial" w:cs="Arial"/>
          <w:bCs/>
        </w:rPr>
      </w:pPr>
      <w:r w:rsidRPr="006265EC">
        <w:rPr>
          <w:rFonts w:ascii="Arial" w:hAnsi="Arial" w:cs="Arial"/>
          <w:bCs/>
        </w:rPr>
        <w:lastRenderedPageBreak/>
        <w:t xml:space="preserve">2.1.7) Using a 25-gauge needle </w:t>
      </w:r>
      <w:r w:rsidR="003E4A9B">
        <w:rPr>
          <w:rFonts w:ascii="Arial" w:hAnsi="Arial" w:cs="Arial"/>
          <w:bCs/>
        </w:rPr>
        <w:t>attached to a</w:t>
      </w:r>
      <w:r w:rsidRPr="006265EC">
        <w:rPr>
          <w:rFonts w:ascii="Arial" w:hAnsi="Arial" w:cs="Arial"/>
          <w:bCs/>
        </w:rPr>
        <w:t xml:space="preserve"> 1 ml syringe, break the cells by passing the cell suspension through the needle 25 times</w:t>
      </w:r>
      <w:r w:rsidR="003E4A9B">
        <w:rPr>
          <w:rFonts w:ascii="Arial" w:hAnsi="Arial" w:cs="Arial"/>
          <w:bCs/>
        </w:rPr>
        <w:t xml:space="preserve">.  </w:t>
      </w:r>
    </w:p>
    <w:p w14:paraId="532CFA59" w14:textId="77777777" w:rsidR="003E4A9B" w:rsidRDefault="003E4A9B" w:rsidP="006265EC">
      <w:pPr>
        <w:rPr>
          <w:rFonts w:ascii="Arial" w:hAnsi="Arial" w:cs="Arial"/>
          <w:bCs/>
        </w:rPr>
      </w:pPr>
    </w:p>
    <w:p w14:paraId="383C0AB7" w14:textId="525F10B9" w:rsidR="00172148" w:rsidRDefault="003E4A9B" w:rsidP="006265EC">
      <w:pPr>
        <w:rPr>
          <w:rFonts w:ascii="Arial" w:hAnsi="Arial" w:cs="Arial"/>
          <w:bCs/>
        </w:rPr>
      </w:pPr>
      <w:r w:rsidRPr="003E4A9B">
        <w:rPr>
          <w:rFonts w:ascii="Arial" w:hAnsi="Arial" w:cs="Arial"/>
          <w:bCs/>
          <w:i/>
        </w:rPr>
        <w:t>Note</w:t>
      </w:r>
      <w:r>
        <w:rPr>
          <w:rFonts w:ascii="Arial" w:hAnsi="Arial" w:cs="Arial"/>
          <w:bCs/>
        </w:rPr>
        <w:t>:  Breakage can be monitored by transferring a few microliters of the homogenate to a glass slide, covering with a coverslip and visualizing using a low power light microscope used to visualize cultured cells; as few as 6-10 passages may be sufficient.  Broken cells will lose their reflective character and small particles of cell components will be readily detected.</w:t>
      </w:r>
    </w:p>
    <w:p w14:paraId="586E9B09" w14:textId="77777777" w:rsidR="00EA1988" w:rsidRPr="006265EC" w:rsidRDefault="00EA1988" w:rsidP="006265EC">
      <w:pPr>
        <w:rPr>
          <w:rFonts w:ascii="Arial" w:hAnsi="Arial" w:cs="Arial"/>
          <w:bCs/>
        </w:rPr>
      </w:pPr>
    </w:p>
    <w:p w14:paraId="2B13D8B0" w14:textId="0435CF25" w:rsidR="00172148" w:rsidRDefault="00172148" w:rsidP="006265EC">
      <w:pPr>
        <w:rPr>
          <w:rFonts w:ascii="Arial" w:hAnsi="Arial" w:cs="Arial"/>
          <w:bCs/>
        </w:rPr>
      </w:pPr>
      <w:r w:rsidRPr="006265EC">
        <w:rPr>
          <w:rFonts w:ascii="Arial" w:hAnsi="Arial" w:cs="Arial"/>
          <w:bCs/>
        </w:rPr>
        <w:t xml:space="preserve">2.1.8) Centrifuge the cell suspension at </w:t>
      </w:r>
      <w:r w:rsidR="00345EB9">
        <w:rPr>
          <w:rFonts w:ascii="Arial" w:hAnsi="Arial" w:cs="Arial"/>
          <w:bCs/>
        </w:rPr>
        <w:t>1000</w:t>
      </w:r>
      <w:r w:rsidR="00445B76" w:rsidRPr="006265EC">
        <w:rPr>
          <w:rFonts w:ascii="Arial" w:hAnsi="Arial" w:cs="Arial"/>
          <w:bCs/>
        </w:rPr>
        <w:t>g</w:t>
      </w:r>
      <w:r w:rsidRPr="006265EC">
        <w:rPr>
          <w:rFonts w:ascii="Arial" w:hAnsi="Arial" w:cs="Arial"/>
          <w:bCs/>
        </w:rPr>
        <w:t xml:space="preserve"> for 5 min at 4</w:t>
      </w:r>
      <w:r w:rsidRPr="006265EC">
        <w:rPr>
          <w:rFonts w:ascii="Arial" w:hAnsi="Arial" w:cs="Arial"/>
          <w:bCs/>
          <w:vertAlign w:val="superscript"/>
        </w:rPr>
        <w:t>o</w:t>
      </w:r>
      <w:r w:rsidRPr="006265EC">
        <w:rPr>
          <w:rFonts w:ascii="Arial" w:hAnsi="Arial" w:cs="Arial"/>
          <w:bCs/>
        </w:rPr>
        <w:t xml:space="preserve">C </w:t>
      </w:r>
      <w:r w:rsidR="003E4A9B">
        <w:rPr>
          <w:rFonts w:ascii="Arial" w:hAnsi="Arial" w:cs="Arial"/>
          <w:bCs/>
        </w:rPr>
        <w:t>and</w:t>
      </w:r>
      <w:r w:rsidRPr="006265EC">
        <w:rPr>
          <w:rFonts w:ascii="Arial" w:hAnsi="Arial" w:cs="Arial"/>
          <w:bCs/>
        </w:rPr>
        <w:t xml:space="preserve"> collect the supernatant in a new </w:t>
      </w:r>
      <w:r w:rsidR="003E4A9B">
        <w:rPr>
          <w:rFonts w:ascii="Arial" w:hAnsi="Arial" w:cs="Arial"/>
          <w:bCs/>
        </w:rPr>
        <w:t xml:space="preserve">1.5ml </w:t>
      </w:r>
      <w:proofErr w:type="spellStart"/>
      <w:r w:rsidRPr="006265EC">
        <w:rPr>
          <w:rFonts w:ascii="Arial" w:hAnsi="Arial" w:cs="Arial"/>
          <w:bCs/>
        </w:rPr>
        <w:t>Eppendorf</w:t>
      </w:r>
      <w:proofErr w:type="spellEnd"/>
      <w:r w:rsidRPr="006265EC">
        <w:rPr>
          <w:rFonts w:ascii="Arial" w:hAnsi="Arial" w:cs="Arial"/>
          <w:bCs/>
        </w:rPr>
        <w:t xml:space="preserve"> tube</w:t>
      </w:r>
    </w:p>
    <w:p w14:paraId="46C7A7A1" w14:textId="77777777" w:rsidR="003E4A9B" w:rsidRPr="006265EC" w:rsidRDefault="003E4A9B" w:rsidP="006265EC">
      <w:pPr>
        <w:rPr>
          <w:rFonts w:ascii="Arial" w:hAnsi="Arial" w:cs="Arial"/>
          <w:bCs/>
        </w:rPr>
      </w:pPr>
    </w:p>
    <w:p w14:paraId="63CF8A8F" w14:textId="70446FEB" w:rsidR="00172148" w:rsidRDefault="00172148" w:rsidP="006265EC">
      <w:pPr>
        <w:rPr>
          <w:rFonts w:ascii="Arial" w:hAnsi="Arial" w:cs="Arial"/>
          <w:bCs/>
        </w:rPr>
      </w:pPr>
      <w:r w:rsidRPr="006265EC">
        <w:rPr>
          <w:rFonts w:ascii="Arial" w:hAnsi="Arial" w:cs="Arial"/>
          <w:bCs/>
          <w:i/>
          <w:iCs/>
        </w:rPr>
        <w:t>Note:</w:t>
      </w:r>
      <w:r w:rsidRPr="006265EC">
        <w:rPr>
          <w:rFonts w:ascii="Arial" w:hAnsi="Arial" w:cs="Arial"/>
          <w:bCs/>
        </w:rPr>
        <w:t xml:space="preserve"> The pellet here will contain the nuclei and other cell debris. This can be analysed by lysing in 500 </w:t>
      </w:r>
      <w:r w:rsidR="001B27F0" w:rsidRPr="006265EC">
        <w:rPr>
          <w:rFonts w:ascii="Arial" w:hAnsi="Arial" w:cs="Arial"/>
          <w:bCs/>
        </w:rPr>
        <w:t>µ</w:t>
      </w:r>
      <w:r w:rsidRPr="006265EC">
        <w:rPr>
          <w:rFonts w:ascii="Arial" w:hAnsi="Arial" w:cs="Arial"/>
          <w:bCs/>
        </w:rPr>
        <w:t xml:space="preserve">l Buffer </w:t>
      </w:r>
      <w:r w:rsidRPr="006265EC">
        <w:rPr>
          <w:rFonts w:ascii="Arial" w:hAnsi="Arial" w:cs="Arial"/>
          <w:b/>
        </w:rPr>
        <w:t>C</w:t>
      </w:r>
      <w:r w:rsidR="001B27F0" w:rsidRPr="006265EC">
        <w:rPr>
          <w:rFonts w:ascii="Arial" w:hAnsi="Arial" w:cs="Arial"/>
          <w:bCs/>
        </w:rPr>
        <w:t xml:space="preserve">. The supernatant </w:t>
      </w:r>
      <w:r w:rsidR="003E4A9B">
        <w:rPr>
          <w:rFonts w:ascii="Arial" w:hAnsi="Arial" w:cs="Arial"/>
          <w:bCs/>
        </w:rPr>
        <w:t>represents</w:t>
      </w:r>
      <w:r w:rsidR="001B27F0" w:rsidRPr="006265EC">
        <w:rPr>
          <w:rFonts w:ascii="Arial" w:hAnsi="Arial" w:cs="Arial"/>
          <w:bCs/>
        </w:rPr>
        <w:t xml:space="preserve"> the post-nuclear supernatant</w:t>
      </w:r>
      <w:r w:rsidR="003E4A9B">
        <w:rPr>
          <w:rFonts w:ascii="Arial" w:hAnsi="Arial" w:cs="Arial"/>
          <w:bCs/>
        </w:rPr>
        <w:t>.</w:t>
      </w:r>
    </w:p>
    <w:p w14:paraId="05610853" w14:textId="77777777" w:rsidR="003E4A9B" w:rsidRPr="006265EC" w:rsidRDefault="003E4A9B" w:rsidP="006265EC">
      <w:pPr>
        <w:rPr>
          <w:rFonts w:ascii="Arial" w:hAnsi="Arial" w:cs="Arial"/>
          <w:bCs/>
        </w:rPr>
      </w:pPr>
    </w:p>
    <w:p w14:paraId="5A89FF04" w14:textId="1BA0F1C3" w:rsidR="001B27F0" w:rsidRDefault="001B27F0" w:rsidP="006265EC">
      <w:pPr>
        <w:rPr>
          <w:rFonts w:ascii="Arial" w:hAnsi="Arial" w:cs="Arial"/>
          <w:bCs/>
        </w:rPr>
      </w:pPr>
      <w:r w:rsidRPr="006265EC">
        <w:rPr>
          <w:rFonts w:ascii="Arial" w:hAnsi="Arial" w:cs="Arial"/>
          <w:bCs/>
        </w:rPr>
        <w:t xml:space="preserve">2.1.9) Load the post-nuclear supernatant into thick-walled </w:t>
      </w:r>
      <w:r w:rsidR="00345EB9">
        <w:rPr>
          <w:rFonts w:ascii="Arial" w:hAnsi="Arial" w:cs="Arial"/>
          <w:bCs/>
        </w:rPr>
        <w:t xml:space="preserve">polycarbonate </w:t>
      </w:r>
      <w:r w:rsidRPr="006265EC">
        <w:rPr>
          <w:rFonts w:ascii="Arial" w:hAnsi="Arial" w:cs="Arial"/>
          <w:bCs/>
        </w:rPr>
        <w:t>tubes, appropriate for ultracentrifugation</w:t>
      </w:r>
      <w:r w:rsidR="00345EB9">
        <w:rPr>
          <w:rFonts w:ascii="Arial" w:hAnsi="Arial" w:cs="Arial"/>
          <w:bCs/>
        </w:rPr>
        <w:t xml:space="preserve"> in a </w:t>
      </w:r>
      <w:proofErr w:type="gramStart"/>
      <w:r w:rsidR="00345EB9">
        <w:rPr>
          <w:rFonts w:ascii="Arial" w:hAnsi="Arial" w:cs="Arial"/>
          <w:bCs/>
        </w:rPr>
        <w:t>table top</w:t>
      </w:r>
      <w:proofErr w:type="gramEnd"/>
      <w:r w:rsidR="00345EB9">
        <w:rPr>
          <w:rFonts w:ascii="Arial" w:hAnsi="Arial" w:cs="Arial"/>
          <w:bCs/>
        </w:rPr>
        <w:t xml:space="preserve"> ultracentrifuge</w:t>
      </w:r>
      <w:r w:rsidRPr="006265EC">
        <w:rPr>
          <w:rFonts w:ascii="Arial" w:hAnsi="Arial" w:cs="Arial"/>
          <w:bCs/>
        </w:rPr>
        <w:t xml:space="preserve">. </w:t>
      </w:r>
      <w:proofErr w:type="gramStart"/>
      <w:r w:rsidRPr="006265EC">
        <w:rPr>
          <w:rFonts w:ascii="Arial" w:hAnsi="Arial" w:cs="Arial"/>
          <w:bCs/>
        </w:rPr>
        <w:t xml:space="preserve">Ultracentrifuge at </w:t>
      </w:r>
      <w:r w:rsidR="00345EB9">
        <w:rPr>
          <w:rFonts w:ascii="Arial" w:hAnsi="Arial" w:cs="Arial"/>
          <w:bCs/>
        </w:rPr>
        <w:t>150,000</w:t>
      </w:r>
      <w:r w:rsidR="00D05635" w:rsidRPr="006265EC">
        <w:rPr>
          <w:rFonts w:ascii="Arial" w:hAnsi="Arial" w:cs="Arial"/>
          <w:bCs/>
        </w:rPr>
        <w:t>g</w:t>
      </w:r>
      <w:r w:rsidRPr="006265EC">
        <w:rPr>
          <w:rFonts w:ascii="Arial" w:hAnsi="Arial" w:cs="Arial"/>
          <w:bCs/>
        </w:rPr>
        <w:t xml:space="preserve"> for 20 min at 4</w:t>
      </w:r>
      <w:r w:rsidRPr="006265EC">
        <w:rPr>
          <w:rFonts w:ascii="Arial" w:hAnsi="Arial" w:cs="Arial"/>
          <w:bCs/>
          <w:vertAlign w:val="superscript"/>
        </w:rPr>
        <w:t>o</w:t>
      </w:r>
      <w:r w:rsidRPr="006265EC">
        <w:rPr>
          <w:rFonts w:ascii="Arial" w:hAnsi="Arial" w:cs="Arial"/>
          <w:bCs/>
        </w:rPr>
        <w:t>C.</w:t>
      </w:r>
      <w:proofErr w:type="gramEnd"/>
      <w:r w:rsidRPr="006265EC">
        <w:rPr>
          <w:rFonts w:ascii="Arial" w:hAnsi="Arial" w:cs="Arial"/>
          <w:bCs/>
        </w:rPr>
        <w:t xml:space="preserve"> </w:t>
      </w:r>
    </w:p>
    <w:p w14:paraId="24115D81" w14:textId="77777777" w:rsidR="003E4A9B" w:rsidRPr="006265EC" w:rsidRDefault="003E4A9B" w:rsidP="006265EC">
      <w:pPr>
        <w:rPr>
          <w:rFonts w:ascii="Arial" w:hAnsi="Arial" w:cs="Arial"/>
          <w:bCs/>
        </w:rPr>
      </w:pPr>
    </w:p>
    <w:p w14:paraId="1F9DE9EA" w14:textId="15FE618A" w:rsidR="001B27F0" w:rsidRDefault="001B27F0" w:rsidP="006265EC">
      <w:pPr>
        <w:rPr>
          <w:rFonts w:ascii="Arial" w:hAnsi="Arial" w:cs="Arial"/>
          <w:bCs/>
        </w:rPr>
      </w:pPr>
      <w:r w:rsidRPr="006265EC">
        <w:rPr>
          <w:rFonts w:ascii="Arial" w:hAnsi="Arial" w:cs="Arial"/>
          <w:bCs/>
        </w:rPr>
        <w:t>Note: The membrane pellet will form at the bottom of the tube</w:t>
      </w:r>
    </w:p>
    <w:p w14:paraId="493CDE9A" w14:textId="77777777" w:rsidR="003E4A9B" w:rsidRPr="006265EC" w:rsidRDefault="003E4A9B" w:rsidP="006265EC">
      <w:pPr>
        <w:rPr>
          <w:rFonts w:ascii="Arial" w:hAnsi="Arial" w:cs="Arial"/>
          <w:bCs/>
        </w:rPr>
      </w:pPr>
    </w:p>
    <w:p w14:paraId="1B11311D" w14:textId="1F5878BD" w:rsidR="00035362" w:rsidRDefault="001B27F0" w:rsidP="006265EC">
      <w:pPr>
        <w:rPr>
          <w:rFonts w:ascii="Arial" w:hAnsi="Arial" w:cs="Arial"/>
          <w:bCs/>
        </w:rPr>
      </w:pPr>
      <w:r w:rsidRPr="006265EC">
        <w:rPr>
          <w:rFonts w:ascii="Arial" w:hAnsi="Arial" w:cs="Arial"/>
          <w:bCs/>
        </w:rPr>
        <w:t xml:space="preserve">2.1.10) </w:t>
      </w:r>
      <w:proofErr w:type="gramStart"/>
      <w:r w:rsidR="00035362" w:rsidRPr="006265EC">
        <w:rPr>
          <w:rFonts w:ascii="Arial" w:hAnsi="Arial" w:cs="Arial"/>
          <w:bCs/>
        </w:rPr>
        <w:t>Transfer</w:t>
      </w:r>
      <w:proofErr w:type="gramEnd"/>
      <w:r w:rsidR="00035362" w:rsidRPr="006265EC">
        <w:rPr>
          <w:rFonts w:ascii="Arial" w:hAnsi="Arial" w:cs="Arial"/>
          <w:bCs/>
        </w:rPr>
        <w:t xml:space="preserve"> the cytosolic fraction (supernatant) to a fresh Eppendorf tube</w:t>
      </w:r>
      <w:r w:rsidR="00345EB9">
        <w:rPr>
          <w:rFonts w:ascii="Arial" w:hAnsi="Arial" w:cs="Arial"/>
          <w:bCs/>
        </w:rPr>
        <w:t xml:space="preserve"> on ice</w:t>
      </w:r>
      <w:r w:rsidR="00035362" w:rsidRPr="006265EC">
        <w:rPr>
          <w:rFonts w:ascii="Arial" w:hAnsi="Arial" w:cs="Arial"/>
          <w:bCs/>
        </w:rPr>
        <w:t xml:space="preserve">. </w:t>
      </w:r>
    </w:p>
    <w:p w14:paraId="433BE8FD" w14:textId="77777777" w:rsidR="00345EB9" w:rsidRPr="006265EC" w:rsidRDefault="00345EB9" w:rsidP="006265EC">
      <w:pPr>
        <w:rPr>
          <w:rFonts w:ascii="Arial" w:hAnsi="Arial" w:cs="Arial"/>
          <w:bCs/>
        </w:rPr>
      </w:pPr>
    </w:p>
    <w:p w14:paraId="5AF0B05E" w14:textId="636B6B21" w:rsidR="001B27F0" w:rsidRDefault="00035362" w:rsidP="006265EC">
      <w:pPr>
        <w:rPr>
          <w:rFonts w:ascii="Arial" w:hAnsi="Arial" w:cs="Arial"/>
          <w:bCs/>
        </w:rPr>
      </w:pPr>
      <w:r w:rsidRPr="006265EC">
        <w:rPr>
          <w:rFonts w:ascii="Arial" w:hAnsi="Arial" w:cs="Arial"/>
          <w:bCs/>
        </w:rPr>
        <w:t xml:space="preserve">2.1.11) Wash the membrane fraction pellet will 500 </w:t>
      </w:r>
      <w:bookmarkStart w:id="1" w:name="_Hlk105687843"/>
      <w:r w:rsidRPr="006265EC">
        <w:rPr>
          <w:rFonts w:ascii="Arial" w:hAnsi="Arial" w:cs="Arial"/>
          <w:bCs/>
        </w:rPr>
        <w:t>µ</w:t>
      </w:r>
      <w:bookmarkEnd w:id="1"/>
      <w:r w:rsidRPr="006265EC">
        <w:rPr>
          <w:rFonts w:ascii="Arial" w:hAnsi="Arial" w:cs="Arial"/>
          <w:bCs/>
        </w:rPr>
        <w:t>l PBS thrice to remove any potential cytosolic contaminants</w:t>
      </w:r>
      <w:r w:rsidR="00345EB9">
        <w:rPr>
          <w:rFonts w:ascii="Arial" w:hAnsi="Arial" w:cs="Arial"/>
          <w:bCs/>
        </w:rPr>
        <w:t>.  [This may not be necessary if aspiration is complete.]</w:t>
      </w:r>
    </w:p>
    <w:p w14:paraId="201CAA47" w14:textId="77777777" w:rsidR="00345EB9" w:rsidRPr="006265EC" w:rsidRDefault="00345EB9" w:rsidP="006265EC">
      <w:pPr>
        <w:rPr>
          <w:rFonts w:ascii="Arial" w:hAnsi="Arial" w:cs="Arial"/>
          <w:bCs/>
        </w:rPr>
      </w:pPr>
    </w:p>
    <w:p w14:paraId="14A18532" w14:textId="5AFA27D8" w:rsidR="001B27F0" w:rsidRDefault="00035362" w:rsidP="006265EC">
      <w:pPr>
        <w:rPr>
          <w:rFonts w:ascii="Arial" w:hAnsi="Arial" w:cs="Arial"/>
          <w:bCs/>
        </w:rPr>
      </w:pPr>
      <w:r w:rsidRPr="006265EC">
        <w:rPr>
          <w:rFonts w:ascii="Arial" w:hAnsi="Arial" w:cs="Arial"/>
          <w:bCs/>
        </w:rPr>
        <w:t xml:space="preserve">2.1.12) Resuspend membrane pellet </w:t>
      </w:r>
      <w:r w:rsidR="00345EB9">
        <w:rPr>
          <w:rFonts w:ascii="Arial" w:hAnsi="Arial" w:cs="Arial"/>
          <w:bCs/>
        </w:rPr>
        <w:t>using</w:t>
      </w:r>
      <w:r w:rsidRPr="006265EC">
        <w:rPr>
          <w:rFonts w:ascii="Arial" w:hAnsi="Arial" w:cs="Arial"/>
          <w:bCs/>
        </w:rPr>
        <w:t xml:space="preserve"> 500 µl of Buffer </w:t>
      </w:r>
      <w:r w:rsidRPr="006265EC">
        <w:rPr>
          <w:rFonts w:ascii="Arial" w:hAnsi="Arial" w:cs="Arial"/>
          <w:b/>
        </w:rPr>
        <w:t>C</w:t>
      </w:r>
      <w:r w:rsidRPr="006265EC">
        <w:rPr>
          <w:rFonts w:ascii="Arial" w:hAnsi="Arial" w:cs="Arial"/>
          <w:bCs/>
        </w:rPr>
        <w:t xml:space="preserve"> </w:t>
      </w:r>
      <w:r w:rsidR="00345EB9">
        <w:rPr>
          <w:rFonts w:ascii="Arial" w:hAnsi="Arial" w:cs="Arial"/>
          <w:bCs/>
        </w:rPr>
        <w:t xml:space="preserve">using a pipet </w:t>
      </w:r>
      <w:r w:rsidRPr="006265EC">
        <w:rPr>
          <w:rFonts w:ascii="Arial" w:hAnsi="Arial" w:cs="Arial"/>
          <w:bCs/>
        </w:rPr>
        <w:t xml:space="preserve">and </w:t>
      </w:r>
      <w:r w:rsidR="00345EB9">
        <w:rPr>
          <w:rFonts w:ascii="Arial" w:hAnsi="Arial" w:cs="Arial"/>
          <w:bCs/>
        </w:rPr>
        <w:t>incubate</w:t>
      </w:r>
      <w:r w:rsidRPr="006265EC">
        <w:rPr>
          <w:rFonts w:ascii="Arial" w:hAnsi="Arial" w:cs="Arial"/>
          <w:bCs/>
        </w:rPr>
        <w:t xml:space="preserve"> on ice for </w:t>
      </w:r>
      <w:r w:rsidR="00345EB9">
        <w:rPr>
          <w:rFonts w:ascii="Arial" w:hAnsi="Arial" w:cs="Arial"/>
          <w:bCs/>
        </w:rPr>
        <w:t>5-</w:t>
      </w:r>
      <w:r w:rsidRPr="006265EC">
        <w:rPr>
          <w:rFonts w:ascii="Arial" w:hAnsi="Arial" w:cs="Arial"/>
          <w:bCs/>
        </w:rPr>
        <w:t xml:space="preserve">20 min to allow </w:t>
      </w:r>
      <w:r w:rsidR="00345EB9">
        <w:rPr>
          <w:rFonts w:ascii="Arial" w:hAnsi="Arial" w:cs="Arial"/>
          <w:bCs/>
        </w:rPr>
        <w:t xml:space="preserve">detergent </w:t>
      </w:r>
      <w:proofErr w:type="spellStart"/>
      <w:r w:rsidRPr="006265EC">
        <w:rPr>
          <w:rFonts w:ascii="Arial" w:hAnsi="Arial" w:cs="Arial"/>
          <w:bCs/>
        </w:rPr>
        <w:t>solubilization</w:t>
      </w:r>
      <w:proofErr w:type="spellEnd"/>
      <w:r w:rsidRPr="006265EC">
        <w:rPr>
          <w:rFonts w:ascii="Arial" w:hAnsi="Arial" w:cs="Arial"/>
          <w:bCs/>
        </w:rPr>
        <w:t xml:space="preserve"> of membrane proteins. </w:t>
      </w:r>
    </w:p>
    <w:p w14:paraId="2AF9C80D" w14:textId="77777777" w:rsidR="00345EB9" w:rsidRPr="006265EC" w:rsidRDefault="00345EB9" w:rsidP="006265EC">
      <w:pPr>
        <w:rPr>
          <w:rFonts w:ascii="Arial" w:hAnsi="Arial" w:cs="Arial"/>
          <w:bCs/>
        </w:rPr>
      </w:pPr>
    </w:p>
    <w:p w14:paraId="23681EC2" w14:textId="7C6F6928" w:rsidR="00035362" w:rsidRDefault="00035362" w:rsidP="006265EC">
      <w:pPr>
        <w:rPr>
          <w:rFonts w:ascii="Arial" w:hAnsi="Arial" w:cs="Arial"/>
          <w:bCs/>
        </w:rPr>
      </w:pPr>
      <w:r w:rsidRPr="006265EC">
        <w:rPr>
          <w:rFonts w:ascii="Arial" w:hAnsi="Arial" w:cs="Arial"/>
          <w:bCs/>
        </w:rPr>
        <w:t xml:space="preserve">2.1.13) Centrifuge membrane protein solution at </w:t>
      </w:r>
      <w:r w:rsidR="00345EB9">
        <w:rPr>
          <w:rFonts w:ascii="Arial" w:hAnsi="Arial" w:cs="Arial"/>
          <w:bCs/>
        </w:rPr>
        <w:t>1000</w:t>
      </w:r>
      <w:r w:rsidR="00445B76" w:rsidRPr="006265EC">
        <w:rPr>
          <w:rFonts w:ascii="Arial" w:hAnsi="Arial" w:cs="Arial"/>
          <w:bCs/>
        </w:rPr>
        <w:t xml:space="preserve">g </w:t>
      </w:r>
      <w:r w:rsidRPr="006265EC">
        <w:rPr>
          <w:rFonts w:ascii="Arial" w:hAnsi="Arial" w:cs="Arial"/>
          <w:bCs/>
        </w:rPr>
        <w:t xml:space="preserve">for 5 min at 4 </w:t>
      </w:r>
      <w:proofErr w:type="spellStart"/>
      <w:r w:rsidRPr="006265EC">
        <w:rPr>
          <w:rFonts w:ascii="Arial" w:hAnsi="Arial" w:cs="Arial"/>
          <w:bCs/>
          <w:vertAlign w:val="superscript"/>
        </w:rPr>
        <w:t>o</w:t>
      </w:r>
      <w:r w:rsidRPr="006265EC">
        <w:rPr>
          <w:rFonts w:ascii="Arial" w:hAnsi="Arial" w:cs="Arial"/>
          <w:bCs/>
        </w:rPr>
        <w:t>C</w:t>
      </w:r>
      <w:proofErr w:type="spellEnd"/>
      <w:r w:rsidRPr="006265EC">
        <w:rPr>
          <w:rFonts w:ascii="Arial" w:hAnsi="Arial" w:cs="Arial"/>
          <w:bCs/>
        </w:rPr>
        <w:t xml:space="preserve"> to separate solubilized membrane proteins (supernatant) from insoluble membrane proteins (pellet)</w:t>
      </w:r>
      <w:r w:rsidR="00345EB9">
        <w:rPr>
          <w:rFonts w:ascii="Arial" w:hAnsi="Arial" w:cs="Arial"/>
          <w:bCs/>
        </w:rPr>
        <w:t>.</w:t>
      </w:r>
    </w:p>
    <w:p w14:paraId="6CB87BB9" w14:textId="77777777" w:rsidR="00345EB9" w:rsidRPr="006265EC" w:rsidRDefault="00345EB9" w:rsidP="006265EC">
      <w:pPr>
        <w:rPr>
          <w:rFonts w:ascii="Arial" w:hAnsi="Arial" w:cs="Arial"/>
          <w:bCs/>
        </w:rPr>
      </w:pPr>
    </w:p>
    <w:p w14:paraId="1561CCC4" w14:textId="119C0E1E" w:rsidR="00585C99" w:rsidRDefault="00035362" w:rsidP="006265EC">
      <w:pPr>
        <w:rPr>
          <w:rFonts w:ascii="Arial" w:hAnsi="Arial" w:cs="Arial"/>
          <w:color w:val="000000" w:themeColor="text1"/>
        </w:rPr>
      </w:pPr>
      <w:r w:rsidRPr="006265EC">
        <w:rPr>
          <w:rFonts w:ascii="Arial" w:hAnsi="Arial" w:cs="Arial"/>
          <w:bCs/>
        </w:rPr>
        <w:t xml:space="preserve">2.1.14) </w:t>
      </w:r>
      <w:proofErr w:type="gramStart"/>
      <w:r w:rsidR="00585C99" w:rsidRPr="006265EC">
        <w:rPr>
          <w:rFonts w:ascii="Arial" w:hAnsi="Arial" w:cs="Arial"/>
          <w:color w:val="000000" w:themeColor="text1"/>
        </w:rPr>
        <w:t>Determine</w:t>
      </w:r>
      <w:proofErr w:type="gramEnd"/>
      <w:r w:rsidR="00585C99" w:rsidRPr="006265EC">
        <w:rPr>
          <w:rFonts w:ascii="Arial" w:hAnsi="Arial" w:cs="Arial"/>
          <w:color w:val="000000" w:themeColor="text1"/>
        </w:rPr>
        <w:t xml:space="preserve"> the protein concentration of cell lysates by Bradford assay according to the manufacturer’s instructions, performing measurements in triplicate. </w:t>
      </w:r>
    </w:p>
    <w:p w14:paraId="59221499" w14:textId="77777777" w:rsidR="00345EB9" w:rsidRPr="006265EC" w:rsidRDefault="00345EB9" w:rsidP="006265EC">
      <w:pPr>
        <w:rPr>
          <w:rFonts w:ascii="Arial" w:hAnsi="Arial" w:cs="Arial"/>
          <w:bCs/>
        </w:rPr>
      </w:pPr>
    </w:p>
    <w:p w14:paraId="63F930B3" w14:textId="5FED2651" w:rsidR="00585C99" w:rsidRDefault="00585C99" w:rsidP="006265EC">
      <w:pPr>
        <w:rPr>
          <w:rFonts w:ascii="Arial" w:hAnsi="Arial" w:cs="Arial"/>
          <w:color w:val="000000" w:themeColor="text1"/>
        </w:rPr>
      </w:pPr>
      <w:r w:rsidRPr="006265EC">
        <w:rPr>
          <w:rFonts w:ascii="Arial" w:hAnsi="Arial" w:cs="Arial"/>
          <w:color w:val="000000" w:themeColor="text1"/>
        </w:rPr>
        <w:t>Note: Ensure the concentration of the samples is in the linear range for the Bradford assay. If it isn’t, prepare appropriate dilutions in water of each lysate. Generally, protein concentrations of near confluent cells lysed as described above should result in protein co</w:t>
      </w:r>
      <w:r w:rsidR="00345EB9">
        <w:rPr>
          <w:rFonts w:ascii="Arial" w:hAnsi="Arial" w:cs="Arial"/>
          <w:color w:val="000000" w:themeColor="text1"/>
        </w:rPr>
        <w:t>ncentrations of at least 2µg/µl.</w:t>
      </w:r>
    </w:p>
    <w:p w14:paraId="0B7D0F2C" w14:textId="77777777" w:rsidR="00345EB9" w:rsidRPr="006265EC" w:rsidRDefault="00345EB9" w:rsidP="006265EC">
      <w:pPr>
        <w:rPr>
          <w:rFonts w:ascii="Arial" w:hAnsi="Arial" w:cs="Arial"/>
          <w:color w:val="000000" w:themeColor="text1"/>
        </w:rPr>
      </w:pPr>
    </w:p>
    <w:p w14:paraId="26C2D1DA" w14:textId="3C4E46EF" w:rsidR="005B7520" w:rsidRPr="006265EC" w:rsidRDefault="00035362" w:rsidP="006265EC">
      <w:pPr>
        <w:rPr>
          <w:rFonts w:ascii="Arial" w:hAnsi="Arial" w:cs="Arial"/>
          <w:bCs/>
        </w:rPr>
      </w:pPr>
      <w:r w:rsidRPr="006265EC">
        <w:rPr>
          <w:rFonts w:ascii="Arial" w:hAnsi="Arial" w:cs="Arial"/>
          <w:bCs/>
        </w:rPr>
        <w:t xml:space="preserve">2.1.15) </w:t>
      </w:r>
      <w:r w:rsidR="00D5358B" w:rsidRPr="006265EC">
        <w:rPr>
          <w:rFonts w:ascii="Arial" w:hAnsi="Arial" w:cs="Arial"/>
          <w:bCs/>
        </w:rPr>
        <w:t xml:space="preserve">4×SDS–PAGE sample buffer </w:t>
      </w:r>
      <w:r w:rsidR="006D1AD5" w:rsidRPr="006265EC">
        <w:rPr>
          <w:rFonts w:ascii="Arial" w:hAnsi="Arial" w:cs="Arial"/>
          <w:bCs/>
        </w:rPr>
        <w:t>is added to s</w:t>
      </w:r>
      <w:r w:rsidR="00A87240" w:rsidRPr="006265EC">
        <w:rPr>
          <w:rFonts w:ascii="Arial" w:hAnsi="Arial" w:cs="Arial"/>
          <w:bCs/>
        </w:rPr>
        <w:t xml:space="preserve">amples containing 5 µg of membrane protein </w:t>
      </w:r>
      <w:r w:rsidR="006D1AD5" w:rsidRPr="006265EC">
        <w:rPr>
          <w:rFonts w:ascii="Arial" w:hAnsi="Arial" w:cs="Arial"/>
          <w:bCs/>
        </w:rPr>
        <w:t xml:space="preserve">or </w:t>
      </w:r>
      <w:r w:rsidR="00A87240" w:rsidRPr="006265EC">
        <w:rPr>
          <w:rFonts w:ascii="Arial" w:hAnsi="Arial" w:cs="Arial"/>
          <w:bCs/>
        </w:rPr>
        <w:t xml:space="preserve">an equivalent volume of cytosolic protein, </w:t>
      </w:r>
      <w:r w:rsidR="006D1AD5" w:rsidRPr="006265EC">
        <w:rPr>
          <w:rFonts w:ascii="Arial" w:hAnsi="Arial" w:cs="Arial"/>
          <w:bCs/>
        </w:rPr>
        <w:t xml:space="preserve">and </w:t>
      </w:r>
      <w:r w:rsidR="00A87240" w:rsidRPr="006265EC">
        <w:rPr>
          <w:rFonts w:ascii="Arial" w:hAnsi="Arial" w:cs="Arial"/>
          <w:bCs/>
        </w:rPr>
        <w:t>heated at 37°C for 10 min</w:t>
      </w:r>
    </w:p>
    <w:p w14:paraId="1055D8E7" w14:textId="77777777" w:rsidR="006D1AD5" w:rsidRPr="006265EC" w:rsidRDefault="006D1AD5" w:rsidP="006265EC">
      <w:pPr>
        <w:rPr>
          <w:rFonts w:ascii="Arial" w:hAnsi="Arial" w:cs="Arial"/>
          <w:b/>
        </w:rPr>
      </w:pPr>
    </w:p>
    <w:p w14:paraId="3BF7E605" w14:textId="35BE6A47" w:rsidR="00585C99" w:rsidRPr="006265EC" w:rsidRDefault="00585C99" w:rsidP="006265EC">
      <w:pPr>
        <w:rPr>
          <w:rFonts w:ascii="Arial" w:hAnsi="Arial" w:cs="Arial"/>
          <w:b/>
        </w:rPr>
      </w:pPr>
      <w:r w:rsidRPr="006265EC">
        <w:rPr>
          <w:rFonts w:ascii="Arial" w:hAnsi="Arial" w:cs="Arial"/>
          <w:b/>
        </w:rPr>
        <w:t>2.</w:t>
      </w:r>
      <w:r w:rsidR="00035362" w:rsidRPr="006265EC">
        <w:rPr>
          <w:rFonts w:ascii="Arial" w:hAnsi="Arial" w:cs="Arial"/>
          <w:b/>
        </w:rPr>
        <w:t>2</w:t>
      </w:r>
      <w:r w:rsidRPr="006265EC">
        <w:rPr>
          <w:rFonts w:ascii="Arial" w:hAnsi="Arial" w:cs="Arial"/>
          <w:b/>
        </w:rPr>
        <w:t xml:space="preserve">) Analysis of </w:t>
      </w:r>
      <w:r w:rsidR="00AE27C0" w:rsidRPr="006265EC">
        <w:rPr>
          <w:rFonts w:ascii="Arial" w:hAnsi="Arial" w:cs="Arial"/>
          <w:b/>
        </w:rPr>
        <w:t xml:space="preserve">fractionation </w:t>
      </w:r>
      <w:r w:rsidRPr="006265EC">
        <w:rPr>
          <w:rFonts w:ascii="Arial" w:hAnsi="Arial" w:cs="Arial"/>
          <w:b/>
        </w:rPr>
        <w:t>products by quantitative immunoblotting analysis:</w:t>
      </w:r>
      <w:r w:rsidR="00345EB9">
        <w:rPr>
          <w:rFonts w:ascii="Arial" w:hAnsi="Arial" w:cs="Arial"/>
          <w:b/>
        </w:rPr>
        <w:t xml:space="preserve"> </w:t>
      </w:r>
      <w:r w:rsidR="00345EB9" w:rsidRPr="006265EC">
        <w:rPr>
          <w:rFonts w:ascii="Arial" w:hAnsi="Arial" w:cs="Arial"/>
          <w:color w:val="000000" w:themeColor="text1"/>
        </w:rPr>
        <w:t xml:space="preserve">The reaction products can be analysed by quantitative </w:t>
      </w:r>
      <w:proofErr w:type="spellStart"/>
      <w:r w:rsidR="00345EB9" w:rsidRPr="006265EC">
        <w:rPr>
          <w:rFonts w:ascii="Arial" w:hAnsi="Arial" w:cs="Arial"/>
          <w:color w:val="000000" w:themeColor="text1"/>
        </w:rPr>
        <w:t>immunoblotting</w:t>
      </w:r>
      <w:proofErr w:type="spellEnd"/>
      <w:r w:rsidR="00345EB9" w:rsidRPr="006265EC">
        <w:rPr>
          <w:rFonts w:ascii="Arial" w:hAnsi="Arial" w:cs="Arial"/>
          <w:color w:val="000000" w:themeColor="text1"/>
        </w:rPr>
        <w:t xml:space="preserve"> analysis (as described in </w:t>
      </w:r>
      <w:r w:rsidR="00345EB9" w:rsidRPr="006265EC">
        <w:rPr>
          <w:rFonts w:ascii="Arial" w:hAnsi="Arial" w:cs="Arial"/>
        </w:rPr>
        <w:t>dx.doi.org/10.17504/protocols.io.6qpvr68e3vmk/v1</w:t>
      </w:r>
      <w:r w:rsidR="00345EB9" w:rsidRPr="006265EC">
        <w:rPr>
          <w:rFonts w:ascii="Arial" w:hAnsi="Arial" w:cs="Arial"/>
          <w:color w:val="000000" w:themeColor="text1"/>
        </w:rPr>
        <w:t>).</w:t>
      </w:r>
    </w:p>
    <w:p w14:paraId="30402436" w14:textId="206FA606" w:rsidR="00585C99" w:rsidRPr="006265EC" w:rsidRDefault="00585C99" w:rsidP="006265EC">
      <w:pPr>
        <w:rPr>
          <w:rFonts w:ascii="Arial" w:hAnsi="Arial" w:cs="Arial"/>
          <w:color w:val="000000" w:themeColor="text1"/>
        </w:rPr>
      </w:pPr>
    </w:p>
    <w:tbl>
      <w:tblPr>
        <w:tblStyle w:val="TableGrid"/>
        <w:tblpPr w:leftFromText="180" w:rightFromText="180" w:vertAnchor="page" w:horzAnchor="margin" w:tblpY="1051"/>
        <w:tblW w:w="8931" w:type="dxa"/>
        <w:tblLayout w:type="fixed"/>
        <w:tblLook w:val="04A0" w:firstRow="1" w:lastRow="0" w:firstColumn="1" w:lastColumn="0" w:noHBand="0" w:noVBand="1"/>
      </w:tblPr>
      <w:tblGrid>
        <w:gridCol w:w="2391"/>
        <w:gridCol w:w="2429"/>
        <w:gridCol w:w="1701"/>
        <w:gridCol w:w="1276"/>
        <w:gridCol w:w="1134"/>
      </w:tblGrid>
      <w:tr w:rsidR="00445B76" w:rsidRPr="006265EC" w14:paraId="3073DA08" w14:textId="77777777" w:rsidTr="00445B76">
        <w:tc>
          <w:tcPr>
            <w:tcW w:w="2391" w:type="dxa"/>
          </w:tcPr>
          <w:p w14:paraId="768D927D" w14:textId="77777777" w:rsidR="00445B76" w:rsidRPr="006265EC" w:rsidRDefault="00445B76" w:rsidP="006265EC">
            <w:pPr>
              <w:rPr>
                <w:rFonts w:ascii="Arial" w:hAnsi="Arial" w:cs="Arial"/>
                <w:b/>
                <w:bCs/>
                <w:color w:val="000000"/>
                <w:sz w:val="20"/>
                <w:szCs w:val="20"/>
              </w:rPr>
            </w:pPr>
            <w:r w:rsidRPr="006265EC">
              <w:rPr>
                <w:rFonts w:ascii="Arial" w:hAnsi="Arial" w:cs="Arial"/>
                <w:b/>
                <w:bCs/>
                <w:color w:val="000000"/>
                <w:sz w:val="20"/>
                <w:szCs w:val="20"/>
              </w:rPr>
              <w:softHyphen/>
              <w:t>Antibody Target</w:t>
            </w:r>
          </w:p>
        </w:tc>
        <w:tc>
          <w:tcPr>
            <w:tcW w:w="2429" w:type="dxa"/>
          </w:tcPr>
          <w:p w14:paraId="3039C637" w14:textId="77777777" w:rsidR="00445B76" w:rsidRPr="006265EC" w:rsidRDefault="00445B76" w:rsidP="006265EC">
            <w:pPr>
              <w:rPr>
                <w:rFonts w:ascii="Arial" w:hAnsi="Arial" w:cs="Arial"/>
                <w:b/>
                <w:bCs/>
                <w:color w:val="000000"/>
                <w:sz w:val="20"/>
                <w:szCs w:val="20"/>
              </w:rPr>
            </w:pPr>
            <w:r w:rsidRPr="006265EC">
              <w:rPr>
                <w:rFonts w:ascii="Arial" w:hAnsi="Arial" w:cs="Arial"/>
                <w:b/>
                <w:bCs/>
                <w:color w:val="000000"/>
                <w:sz w:val="20"/>
                <w:szCs w:val="20"/>
              </w:rPr>
              <w:t>Company</w:t>
            </w:r>
          </w:p>
        </w:tc>
        <w:tc>
          <w:tcPr>
            <w:tcW w:w="1701" w:type="dxa"/>
          </w:tcPr>
          <w:p w14:paraId="3375E8C0" w14:textId="77777777" w:rsidR="00445B76" w:rsidRPr="006265EC" w:rsidRDefault="00445B76" w:rsidP="006265EC">
            <w:pPr>
              <w:rPr>
                <w:rFonts w:ascii="Arial" w:hAnsi="Arial" w:cs="Arial"/>
                <w:b/>
                <w:bCs/>
                <w:color w:val="000000"/>
                <w:sz w:val="20"/>
                <w:szCs w:val="20"/>
              </w:rPr>
            </w:pPr>
            <w:r w:rsidRPr="006265EC">
              <w:rPr>
                <w:rFonts w:ascii="Arial" w:hAnsi="Arial" w:cs="Arial"/>
                <w:b/>
                <w:bCs/>
                <w:color w:val="000000"/>
                <w:sz w:val="20"/>
                <w:szCs w:val="20"/>
              </w:rPr>
              <w:t xml:space="preserve">Cat. </w:t>
            </w:r>
            <w:proofErr w:type="gramStart"/>
            <w:r w:rsidRPr="006265EC">
              <w:rPr>
                <w:rFonts w:ascii="Arial" w:hAnsi="Arial" w:cs="Arial"/>
                <w:b/>
                <w:bCs/>
                <w:color w:val="000000"/>
                <w:sz w:val="20"/>
                <w:szCs w:val="20"/>
              </w:rPr>
              <w:t>number</w:t>
            </w:r>
            <w:proofErr w:type="gramEnd"/>
          </w:p>
        </w:tc>
        <w:tc>
          <w:tcPr>
            <w:tcW w:w="1276" w:type="dxa"/>
          </w:tcPr>
          <w:p w14:paraId="4D6ECD24" w14:textId="77777777" w:rsidR="00445B76" w:rsidRPr="006265EC" w:rsidRDefault="00445B76" w:rsidP="006265EC">
            <w:pPr>
              <w:rPr>
                <w:rFonts w:ascii="Arial" w:hAnsi="Arial" w:cs="Arial"/>
                <w:b/>
                <w:bCs/>
                <w:color w:val="000000"/>
                <w:sz w:val="20"/>
                <w:szCs w:val="20"/>
              </w:rPr>
            </w:pPr>
            <w:r w:rsidRPr="006265EC">
              <w:rPr>
                <w:rFonts w:ascii="Arial" w:hAnsi="Arial" w:cs="Arial"/>
                <w:b/>
                <w:bCs/>
                <w:color w:val="000000"/>
                <w:sz w:val="20"/>
                <w:szCs w:val="20"/>
              </w:rPr>
              <w:t>Host species</w:t>
            </w:r>
          </w:p>
        </w:tc>
        <w:tc>
          <w:tcPr>
            <w:tcW w:w="1134" w:type="dxa"/>
          </w:tcPr>
          <w:p w14:paraId="2EC0AB2E" w14:textId="77777777" w:rsidR="00445B76" w:rsidRPr="006265EC" w:rsidRDefault="00445B76" w:rsidP="006265EC">
            <w:pPr>
              <w:rPr>
                <w:rFonts w:ascii="Arial" w:hAnsi="Arial" w:cs="Arial"/>
                <w:b/>
                <w:bCs/>
                <w:color w:val="000000"/>
                <w:sz w:val="20"/>
                <w:szCs w:val="20"/>
              </w:rPr>
            </w:pPr>
            <w:r w:rsidRPr="006265EC">
              <w:rPr>
                <w:rFonts w:ascii="Arial" w:hAnsi="Arial" w:cs="Arial"/>
                <w:b/>
                <w:bCs/>
                <w:color w:val="000000"/>
                <w:sz w:val="20"/>
                <w:szCs w:val="20"/>
              </w:rPr>
              <w:t>Dilution</w:t>
            </w:r>
          </w:p>
        </w:tc>
      </w:tr>
      <w:tr w:rsidR="00445B76" w:rsidRPr="006265EC" w14:paraId="6897F3C1" w14:textId="77777777" w:rsidTr="00445B76">
        <w:tc>
          <w:tcPr>
            <w:tcW w:w="2391" w:type="dxa"/>
          </w:tcPr>
          <w:p w14:paraId="678021F9" w14:textId="77777777" w:rsidR="00445B76" w:rsidRPr="006265EC" w:rsidRDefault="00445B76" w:rsidP="006265EC">
            <w:pPr>
              <w:rPr>
                <w:rFonts w:ascii="Arial" w:hAnsi="Arial" w:cs="Arial"/>
                <w:color w:val="000000"/>
                <w:sz w:val="20"/>
                <w:szCs w:val="20"/>
              </w:rPr>
            </w:pPr>
            <w:proofErr w:type="gramStart"/>
            <w:r w:rsidRPr="006265EC">
              <w:rPr>
                <w:rFonts w:ascii="Arial" w:hAnsi="Arial" w:cs="Arial"/>
                <w:color w:val="000000"/>
                <w:sz w:val="20"/>
                <w:szCs w:val="20"/>
              </w:rPr>
              <w:t>pS72</w:t>
            </w:r>
            <w:proofErr w:type="gramEnd"/>
            <w:r w:rsidRPr="006265EC">
              <w:rPr>
                <w:rFonts w:ascii="Arial" w:hAnsi="Arial" w:cs="Arial"/>
                <w:color w:val="000000"/>
                <w:sz w:val="20"/>
                <w:szCs w:val="20"/>
              </w:rPr>
              <w:t xml:space="preserve"> Rab7A</w:t>
            </w:r>
          </w:p>
        </w:tc>
        <w:tc>
          <w:tcPr>
            <w:tcW w:w="2429" w:type="dxa"/>
          </w:tcPr>
          <w:p w14:paraId="39A428B8" w14:textId="77777777" w:rsidR="00445B76" w:rsidRPr="006265EC" w:rsidRDefault="00445B76" w:rsidP="006265EC">
            <w:pPr>
              <w:rPr>
                <w:rFonts w:ascii="Arial" w:hAnsi="Arial" w:cs="Arial"/>
                <w:sz w:val="20"/>
                <w:szCs w:val="20"/>
              </w:rPr>
            </w:pPr>
            <w:r w:rsidRPr="006265EC">
              <w:rPr>
                <w:rFonts w:ascii="Arial" w:hAnsi="Arial" w:cs="Arial"/>
                <w:sz w:val="20"/>
                <w:szCs w:val="20"/>
              </w:rPr>
              <w:t>Abcam Inc.</w:t>
            </w:r>
          </w:p>
        </w:tc>
        <w:tc>
          <w:tcPr>
            <w:tcW w:w="1701" w:type="dxa"/>
          </w:tcPr>
          <w:p w14:paraId="69BAFDD2" w14:textId="77777777" w:rsidR="00445B76" w:rsidRPr="006265EC" w:rsidRDefault="00445B76" w:rsidP="006265EC">
            <w:pPr>
              <w:rPr>
                <w:rFonts w:ascii="Arial" w:hAnsi="Arial" w:cs="Arial"/>
                <w:sz w:val="20"/>
                <w:szCs w:val="20"/>
              </w:rPr>
            </w:pPr>
            <w:proofErr w:type="gramStart"/>
            <w:r w:rsidRPr="006265EC">
              <w:rPr>
                <w:rFonts w:ascii="Arial" w:hAnsi="Arial" w:cs="Arial"/>
                <w:sz w:val="20"/>
                <w:szCs w:val="20"/>
              </w:rPr>
              <w:t>ab302494</w:t>
            </w:r>
            <w:proofErr w:type="gramEnd"/>
          </w:p>
        </w:tc>
        <w:tc>
          <w:tcPr>
            <w:tcW w:w="1276" w:type="dxa"/>
          </w:tcPr>
          <w:p w14:paraId="45A85F78" w14:textId="77777777" w:rsidR="00445B76" w:rsidRPr="006265EC" w:rsidRDefault="00445B76" w:rsidP="006265EC">
            <w:pPr>
              <w:rPr>
                <w:rFonts w:ascii="Arial" w:hAnsi="Arial" w:cs="Arial"/>
                <w:sz w:val="20"/>
                <w:szCs w:val="20"/>
              </w:rPr>
            </w:pPr>
            <w:r w:rsidRPr="006265EC">
              <w:rPr>
                <w:rFonts w:ascii="Arial" w:hAnsi="Arial" w:cs="Arial"/>
                <w:sz w:val="20"/>
                <w:szCs w:val="20"/>
              </w:rPr>
              <w:t>Rabbit</w:t>
            </w:r>
          </w:p>
        </w:tc>
        <w:tc>
          <w:tcPr>
            <w:tcW w:w="1134" w:type="dxa"/>
          </w:tcPr>
          <w:p w14:paraId="676353EF" w14:textId="77777777" w:rsidR="00445B76" w:rsidRPr="006265EC" w:rsidRDefault="00445B76" w:rsidP="006265EC">
            <w:pPr>
              <w:rPr>
                <w:rFonts w:ascii="Arial" w:hAnsi="Arial" w:cs="Arial"/>
                <w:sz w:val="20"/>
                <w:szCs w:val="20"/>
              </w:rPr>
            </w:pPr>
            <w:r w:rsidRPr="006265EC">
              <w:rPr>
                <w:rFonts w:ascii="Arial" w:hAnsi="Arial" w:cs="Arial"/>
                <w:sz w:val="20"/>
                <w:szCs w:val="20"/>
              </w:rPr>
              <w:t>1:1000</w:t>
            </w:r>
          </w:p>
        </w:tc>
      </w:tr>
      <w:tr w:rsidR="00445B76" w:rsidRPr="006265EC" w14:paraId="64342820" w14:textId="77777777" w:rsidTr="00445B76">
        <w:tc>
          <w:tcPr>
            <w:tcW w:w="2391" w:type="dxa"/>
          </w:tcPr>
          <w:p w14:paraId="286F1D97" w14:textId="77777777" w:rsidR="00445B76" w:rsidRPr="006265EC" w:rsidRDefault="00445B76" w:rsidP="006265EC">
            <w:pPr>
              <w:rPr>
                <w:rFonts w:ascii="Arial" w:hAnsi="Arial" w:cs="Arial"/>
                <w:color w:val="000000"/>
                <w:sz w:val="20"/>
                <w:szCs w:val="20"/>
              </w:rPr>
            </w:pPr>
            <w:r w:rsidRPr="006265EC">
              <w:rPr>
                <w:rFonts w:ascii="Arial" w:hAnsi="Arial" w:cs="Arial"/>
                <w:color w:val="000000"/>
                <w:sz w:val="20"/>
                <w:szCs w:val="20"/>
              </w:rPr>
              <w:t>Rab7A (Total)</w:t>
            </w:r>
          </w:p>
        </w:tc>
        <w:tc>
          <w:tcPr>
            <w:tcW w:w="2429" w:type="dxa"/>
          </w:tcPr>
          <w:p w14:paraId="49CEE19A" w14:textId="77777777" w:rsidR="00445B76" w:rsidRPr="006265EC" w:rsidRDefault="00445B76" w:rsidP="006265EC">
            <w:pPr>
              <w:rPr>
                <w:rFonts w:ascii="Arial" w:hAnsi="Arial" w:cs="Arial"/>
                <w:sz w:val="20"/>
                <w:szCs w:val="20"/>
              </w:rPr>
            </w:pPr>
            <w:r w:rsidRPr="006265EC">
              <w:rPr>
                <w:rFonts w:ascii="Arial" w:hAnsi="Arial" w:cs="Arial"/>
                <w:sz w:val="20"/>
                <w:szCs w:val="20"/>
              </w:rPr>
              <w:t>Sigma</w:t>
            </w:r>
          </w:p>
        </w:tc>
        <w:tc>
          <w:tcPr>
            <w:tcW w:w="1701" w:type="dxa"/>
          </w:tcPr>
          <w:p w14:paraId="20B1B02E" w14:textId="77777777" w:rsidR="00445B76" w:rsidRPr="006265EC" w:rsidRDefault="00445B76" w:rsidP="006265EC">
            <w:pPr>
              <w:rPr>
                <w:rFonts w:ascii="Arial" w:hAnsi="Arial" w:cs="Arial"/>
                <w:sz w:val="20"/>
                <w:szCs w:val="20"/>
              </w:rPr>
            </w:pPr>
            <w:r w:rsidRPr="006265EC">
              <w:rPr>
                <w:rFonts w:ascii="Arial" w:hAnsi="Arial" w:cs="Arial"/>
                <w:sz w:val="20"/>
                <w:szCs w:val="20"/>
              </w:rPr>
              <w:t>R8779</w:t>
            </w:r>
          </w:p>
        </w:tc>
        <w:tc>
          <w:tcPr>
            <w:tcW w:w="1276" w:type="dxa"/>
          </w:tcPr>
          <w:p w14:paraId="5BC0A961" w14:textId="77777777" w:rsidR="00445B76" w:rsidRPr="006265EC" w:rsidRDefault="00445B76" w:rsidP="006265EC">
            <w:pPr>
              <w:rPr>
                <w:rFonts w:ascii="Arial" w:hAnsi="Arial" w:cs="Arial"/>
                <w:sz w:val="20"/>
                <w:szCs w:val="20"/>
              </w:rPr>
            </w:pPr>
            <w:r w:rsidRPr="006265EC">
              <w:rPr>
                <w:rFonts w:ascii="Arial" w:hAnsi="Arial" w:cs="Arial"/>
                <w:sz w:val="20"/>
                <w:szCs w:val="20"/>
              </w:rPr>
              <w:t>Mouse</w:t>
            </w:r>
          </w:p>
        </w:tc>
        <w:tc>
          <w:tcPr>
            <w:tcW w:w="1134" w:type="dxa"/>
          </w:tcPr>
          <w:p w14:paraId="092ED1D2" w14:textId="77777777" w:rsidR="00445B76" w:rsidRPr="006265EC" w:rsidRDefault="00445B76" w:rsidP="006265EC">
            <w:pPr>
              <w:rPr>
                <w:rFonts w:ascii="Arial" w:hAnsi="Arial" w:cs="Arial"/>
                <w:sz w:val="20"/>
                <w:szCs w:val="20"/>
              </w:rPr>
            </w:pPr>
            <w:r w:rsidRPr="006265EC">
              <w:rPr>
                <w:rFonts w:ascii="Arial" w:hAnsi="Arial" w:cs="Arial"/>
                <w:sz w:val="20"/>
                <w:szCs w:val="20"/>
              </w:rPr>
              <w:t>1:2000</w:t>
            </w:r>
          </w:p>
        </w:tc>
      </w:tr>
      <w:tr w:rsidR="00445B76" w:rsidRPr="006265EC" w14:paraId="667A930C" w14:textId="77777777" w:rsidTr="00445B76">
        <w:tc>
          <w:tcPr>
            <w:tcW w:w="2391" w:type="dxa"/>
          </w:tcPr>
          <w:p w14:paraId="3FF42E5D" w14:textId="77777777" w:rsidR="00445B76" w:rsidRPr="006265EC" w:rsidRDefault="00445B76" w:rsidP="006265EC">
            <w:pPr>
              <w:rPr>
                <w:rFonts w:ascii="Arial" w:hAnsi="Arial" w:cs="Arial"/>
                <w:color w:val="000000"/>
                <w:sz w:val="20"/>
                <w:szCs w:val="20"/>
              </w:rPr>
            </w:pPr>
            <w:r w:rsidRPr="006265EC">
              <w:rPr>
                <w:rFonts w:ascii="Arial" w:hAnsi="Arial" w:cs="Arial"/>
                <w:color w:val="000000"/>
                <w:sz w:val="20"/>
                <w:szCs w:val="20"/>
              </w:rPr>
              <w:t>LRRK1 (total) (C-terminus)</w:t>
            </w:r>
          </w:p>
        </w:tc>
        <w:tc>
          <w:tcPr>
            <w:tcW w:w="2429" w:type="dxa"/>
          </w:tcPr>
          <w:p w14:paraId="15A37E5A" w14:textId="77777777" w:rsidR="00445B76" w:rsidRPr="006265EC" w:rsidRDefault="00445B76" w:rsidP="006265EC">
            <w:pPr>
              <w:rPr>
                <w:rFonts w:ascii="Arial" w:hAnsi="Arial" w:cs="Arial"/>
                <w:sz w:val="20"/>
                <w:szCs w:val="20"/>
              </w:rPr>
            </w:pPr>
            <w:r w:rsidRPr="006265EC">
              <w:rPr>
                <w:rFonts w:ascii="Arial" w:hAnsi="Arial" w:cs="Arial"/>
                <w:sz w:val="20"/>
                <w:szCs w:val="20"/>
              </w:rPr>
              <w:t>MRC-PPU Reagents and Services, University of Dundee</w:t>
            </w:r>
          </w:p>
        </w:tc>
        <w:tc>
          <w:tcPr>
            <w:tcW w:w="1701" w:type="dxa"/>
          </w:tcPr>
          <w:p w14:paraId="3C3310FF" w14:textId="77777777" w:rsidR="00445B76" w:rsidRPr="006265EC" w:rsidRDefault="00445B76" w:rsidP="006265EC">
            <w:pPr>
              <w:rPr>
                <w:rFonts w:ascii="Arial" w:hAnsi="Arial" w:cs="Arial"/>
                <w:sz w:val="20"/>
                <w:szCs w:val="20"/>
              </w:rPr>
            </w:pPr>
            <w:r w:rsidRPr="006265EC">
              <w:rPr>
                <w:rFonts w:ascii="Arial" w:hAnsi="Arial" w:cs="Arial"/>
                <w:sz w:val="20"/>
                <w:szCs w:val="20"/>
              </w:rPr>
              <w:t>S405C</w:t>
            </w:r>
          </w:p>
        </w:tc>
        <w:tc>
          <w:tcPr>
            <w:tcW w:w="1276" w:type="dxa"/>
          </w:tcPr>
          <w:p w14:paraId="0E1FD95C" w14:textId="77777777" w:rsidR="00445B76" w:rsidRPr="006265EC" w:rsidRDefault="00445B76" w:rsidP="006265EC">
            <w:pPr>
              <w:rPr>
                <w:rFonts w:ascii="Arial" w:hAnsi="Arial" w:cs="Arial"/>
                <w:sz w:val="20"/>
                <w:szCs w:val="20"/>
              </w:rPr>
            </w:pPr>
            <w:r w:rsidRPr="006265EC">
              <w:rPr>
                <w:rFonts w:ascii="Arial" w:hAnsi="Arial" w:cs="Arial"/>
                <w:sz w:val="20"/>
                <w:szCs w:val="20"/>
              </w:rPr>
              <w:t>Sheep</w:t>
            </w:r>
          </w:p>
        </w:tc>
        <w:tc>
          <w:tcPr>
            <w:tcW w:w="1134" w:type="dxa"/>
          </w:tcPr>
          <w:p w14:paraId="76E26646" w14:textId="77777777" w:rsidR="00445B76" w:rsidRPr="006265EC" w:rsidRDefault="00445B76" w:rsidP="006265EC">
            <w:pPr>
              <w:rPr>
                <w:rFonts w:ascii="Arial" w:hAnsi="Arial" w:cs="Arial"/>
                <w:sz w:val="20"/>
                <w:szCs w:val="20"/>
              </w:rPr>
            </w:pPr>
            <w:r w:rsidRPr="006265EC">
              <w:rPr>
                <w:rFonts w:ascii="Arial" w:hAnsi="Arial" w:cs="Arial"/>
                <w:sz w:val="20"/>
                <w:szCs w:val="20"/>
              </w:rPr>
              <w:t xml:space="preserve">1 </w:t>
            </w:r>
            <w:r w:rsidRPr="006265EC">
              <w:rPr>
                <w:rFonts w:ascii="Arial" w:hAnsi="Arial" w:cs="Arial"/>
                <w:sz w:val="20"/>
                <w:szCs w:val="20"/>
              </w:rPr>
              <w:sym w:font="Symbol" w:char="F06D"/>
            </w:r>
            <w:r w:rsidRPr="006265EC">
              <w:rPr>
                <w:rFonts w:ascii="Arial" w:hAnsi="Arial" w:cs="Arial"/>
                <w:sz w:val="20"/>
                <w:szCs w:val="20"/>
              </w:rPr>
              <w:t>g/ml</w:t>
            </w:r>
          </w:p>
        </w:tc>
      </w:tr>
      <w:tr w:rsidR="00445B76" w:rsidRPr="006265EC" w14:paraId="0C3B202C" w14:textId="77777777" w:rsidTr="00445B76">
        <w:tc>
          <w:tcPr>
            <w:tcW w:w="2391" w:type="dxa"/>
          </w:tcPr>
          <w:p w14:paraId="07682AE0" w14:textId="77777777" w:rsidR="00445B76" w:rsidRPr="006265EC" w:rsidRDefault="00445B76" w:rsidP="006265EC">
            <w:pPr>
              <w:rPr>
                <w:rFonts w:ascii="Arial" w:hAnsi="Arial" w:cs="Arial"/>
                <w:color w:val="000000"/>
                <w:sz w:val="20"/>
                <w:szCs w:val="20"/>
              </w:rPr>
            </w:pPr>
            <w:r w:rsidRPr="006265EC">
              <w:rPr>
                <w:rFonts w:ascii="Arial" w:hAnsi="Arial" w:cs="Arial"/>
                <w:color w:val="000000"/>
                <w:sz w:val="20"/>
                <w:szCs w:val="20"/>
              </w:rPr>
              <w:t>Tubulin</w:t>
            </w:r>
          </w:p>
        </w:tc>
        <w:tc>
          <w:tcPr>
            <w:tcW w:w="2429" w:type="dxa"/>
          </w:tcPr>
          <w:p w14:paraId="42417BFC" w14:textId="77777777" w:rsidR="00445B76" w:rsidRPr="006265EC" w:rsidRDefault="00445B76" w:rsidP="006265EC">
            <w:pPr>
              <w:rPr>
                <w:rFonts w:ascii="Arial" w:hAnsi="Arial" w:cs="Arial"/>
                <w:sz w:val="20"/>
                <w:szCs w:val="20"/>
              </w:rPr>
            </w:pPr>
            <w:r w:rsidRPr="006265EC">
              <w:rPr>
                <w:rFonts w:ascii="Arial" w:hAnsi="Arial" w:cs="Arial"/>
                <w:sz w:val="20"/>
                <w:szCs w:val="20"/>
              </w:rPr>
              <w:t xml:space="preserve">Cell </w:t>
            </w:r>
            <w:proofErr w:type="spellStart"/>
            <w:r w:rsidRPr="006265EC">
              <w:rPr>
                <w:rFonts w:ascii="Arial" w:hAnsi="Arial" w:cs="Arial"/>
                <w:sz w:val="20"/>
                <w:szCs w:val="20"/>
              </w:rPr>
              <w:t>Signaling</w:t>
            </w:r>
            <w:proofErr w:type="spellEnd"/>
            <w:r w:rsidRPr="006265EC">
              <w:rPr>
                <w:rFonts w:ascii="Arial" w:hAnsi="Arial" w:cs="Arial"/>
                <w:sz w:val="20"/>
                <w:szCs w:val="20"/>
              </w:rPr>
              <w:t xml:space="preserve"> Technologies</w:t>
            </w:r>
          </w:p>
        </w:tc>
        <w:tc>
          <w:tcPr>
            <w:tcW w:w="1701" w:type="dxa"/>
          </w:tcPr>
          <w:p w14:paraId="653E5D9E" w14:textId="77777777" w:rsidR="00445B76" w:rsidRPr="006265EC" w:rsidRDefault="00445B76" w:rsidP="006265EC">
            <w:pPr>
              <w:rPr>
                <w:rFonts w:ascii="Arial" w:hAnsi="Arial" w:cs="Arial"/>
                <w:sz w:val="20"/>
                <w:szCs w:val="20"/>
              </w:rPr>
            </w:pPr>
            <w:r w:rsidRPr="006265EC">
              <w:rPr>
                <w:rFonts w:ascii="Arial" w:hAnsi="Arial" w:cs="Arial"/>
                <w:sz w:val="20"/>
                <w:szCs w:val="20"/>
              </w:rPr>
              <w:t>2144</w:t>
            </w:r>
          </w:p>
        </w:tc>
        <w:tc>
          <w:tcPr>
            <w:tcW w:w="1276" w:type="dxa"/>
          </w:tcPr>
          <w:p w14:paraId="249A65E5" w14:textId="77777777" w:rsidR="00445B76" w:rsidRPr="006265EC" w:rsidRDefault="00445B76" w:rsidP="006265EC">
            <w:pPr>
              <w:rPr>
                <w:rFonts w:ascii="Arial" w:hAnsi="Arial" w:cs="Arial"/>
                <w:sz w:val="20"/>
                <w:szCs w:val="20"/>
              </w:rPr>
            </w:pPr>
            <w:r w:rsidRPr="006265EC">
              <w:rPr>
                <w:rFonts w:ascii="Arial" w:hAnsi="Arial" w:cs="Arial"/>
                <w:sz w:val="20"/>
                <w:szCs w:val="20"/>
              </w:rPr>
              <w:t>Mouse</w:t>
            </w:r>
          </w:p>
        </w:tc>
        <w:tc>
          <w:tcPr>
            <w:tcW w:w="1134" w:type="dxa"/>
          </w:tcPr>
          <w:p w14:paraId="5243C075" w14:textId="77777777" w:rsidR="00445B76" w:rsidRPr="006265EC" w:rsidRDefault="00445B76" w:rsidP="006265EC">
            <w:pPr>
              <w:rPr>
                <w:rFonts w:ascii="Arial" w:hAnsi="Arial" w:cs="Arial"/>
                <w:sz w:val="20"/>
                <w:szCs w:val="20"/>
              </w:rPr>
            </w:pPr>
            <w:r w:rsidRPr="006265EC">
              <w:rPr>
                <w:rFonts w:ascii="Arial" w:hAnsi="Arial" w:cs="Arial"/>
                <w:sz w:val="20"/>
                <w:szCs w:val="20"/>
              </w:rPr>
              <w:t>1:5,000</w:t>
            </w:r>
          </w:p>
        </w:tc>
      </w:tr>
      <w:tr w:rsidR="00445B76" w:rsidRPr="006265EC" w14:paraId="5E258840" w14:textId="77777777" w:rsidTr="00445B76">
        <w:tc>
          <w:tcPr>
            <w:tcW w:w="2391" w:type="dxa"/>
          </w:tcPr>
          <w:p w14:paraId="534DFF64" w14:textId="77777777" w:rsidR="00445B76" w:rsidRPr="006265EC" w:rsidRDefault="00445B76" w:rsidP="006265EC">
            <w:pPr>
              <w:rPr>
                <w:rFonts w:ascii="Arial" w:hAnsi="Arial" w:cs="Arial"/>
                <w:color w:val="000000"/>
                <w:sz w:val="20"/>
                <w:szCs w:val="20"/>
              </w:rPr>
            </w:pPr>
            <w:proofErr w:type="gramStart"/>
            <w:r w:rsidRPr="006265EC">
              <w:rPr>
                <w:rFonts w:ascii="Arial" w:hAnsi="Arial" w:cs="Arial"/>
                <w:color w:val="000000"/>
                <w:sz w:val="20"/>
                <w:szCs w:val="20"/>
              </w:rPr>
              <w:t>pT202</w:t>
            </w:r>
            <w:proofErr w:type="gramEnd"/>
            <w:r w:rsidRPr="006265EC">
              <w:rPr>
                <w:rFonts w:ascii="Arial" w:hAnsi="Arial" w:cs="Arial"/>
                <w:color w:val="000000"/>
                <w:sz w:val="20"/>
                <w:szCs w:val="20"/>
              </w:rPr>
              <w:t>/Y204 ERK1/2</w:t>
            </w:r>
          </w:p>
        </w:tc>
        <w:tc>
          <w:tcPr>
            <w:tcW w:w="2429" w:type="dxa"/>
          </w:tcPr>
          <w:p w14:paraId="724B7D23" w14:textId="77777777" w:rsidR="00445B76" w:rsidRPr="006265EC" w:rsidRDefault="00445B76" w:rsidP="006265EC">
            <w:pPr>
              <w:rPr>
                <w:rFonts w:ascii="Arial" w:hAnsi="Arial" w:cs="Arial"/>
                <w:sz w:val="20"/>
                <w:szCs w:val="20"/>
              </w:rPr>
            </w:pPr>
            <w:r w:rsidRPr="006265EC">
              <w:rPr>
                <w:rFonts w:ascii="Arial" w:hAnsi="Arial" w:cs="Arial"/>
                <w:sz w:val="20"/>
                <w:szCs w:val="20"/>
              </w:rPr>
              <w:t xml:space="preserve">Cell </w:t>
            </w:r>
            <w:proofErr w:type="spellStart"/>
            <w:r w:rsidRPr="006265EC">
              <w:rPr>
                <w:rFonts w:ascii="Arial" w:hAnsi="Arial" w:cs="Arial"/>
                <w:sz w:val="20"/>
                <w:szCs w:val="20"/>
              </w:rPr>
              <w:t>Signaling</w:t>
            </w:r>
            <w:proofErr w:type="spellEnd"/>
            <w:r w:rsidRPr="006265EC">
              <w:rPr>
                <w:rFonts w:ascii="Arial" w:hAnsi="Arial" w:cs="Arial"/>
                <w:sz w:val="20"/>
                <w:szCs w:val="20"/>
              </w:rPr>
              <w:t xml:space="preserve"> Technologies</w:t>
            </w:r>
          </w:p>
        </w:tc>
        <w:tc>
          <w:tcPr>
            <w:tcW w:w="1701" w:type="dxa"/>
          </w:tcPr>
          <w:p w14:paraId="550C9170" w14:textId="77777777" w:rsidR="00445B76" w:rsidRPr="006265EC" w:rsidRDefault="00445B76" w:rsidP="006265EC">
            <w:pPr>
              <w:rPr>
                <w:rFonts w:ascii="Arial" w:hAnsi="Arial" w:cs="Arial"/>
                <w:sz w:val="20"/>
                <w:szCs w:val="20"/>
              </w:rPr>
            </w:pPr>
            <w:r w:rsidRPr="006265EC">
              <w:rPr>
                <w:rFonts w:ascii="Arial" w:hAnsi="Arial" w:cs="Arial"/>
                <w:sz w:val="20"/>
                <w:szCs w:val="20"/>
              </w:rPr>
              <w:t>9101</w:t>
            </w:r>
          </w:p>
        </w:tc>
        <w:tc>
          <w:tcPr>
            <w:tcW w:w="1276" w:type="dxa"/>
          </w:tcPr>
          <w:p w14:paraId="5E345AEA" w14:textId="77777777" w:rsidR="00445B76" w:rsidRPr="006265EC" w:rsidRDefault="00445B76" w:rsidP="006265EC">
            <w:pPr>
              <w:rPr>
                <w:rFonts w:ascii="Arial" w:hAnsi="Arial" w:cs="Arial"/>
                <w:sz w:val="20"/>
                <w:szCs w:val="20"/>
              </w:rPr>
            </w:pPr>
            <w:r w:rsidRPr="006265EC">
              <w:rPr>
                <w:rFonts w:ascii="Arial" w:hAnsi="Arial" w:cs="Arial"/>
                <w:sz w:val="20"/>
                <w:szCs w:val="20"/>
              </w:rPr>
              <w:t>Rabbit</w:t>
            </w:r>
          </w:p>
        </w:tc>
        <w:tc>
          <w:tcPr>
            <w:tcW w:w="1134" w:type="dxa"/>
          </w:tcPr>
          <w:p w14:paraId="1990AC0F" w14:textId="77777777" w:rsidR="00445B76" w:rsidRPr="006265EC" w:rsidRDefault="00445B76" w:rsidP="006265EC">
            <w:pPr>
              <w:rPr>
                <w:rFonts w:ascii="Arial" w:hAnsi="Arial" w:cs="Arial"/>
                <w:sz w:val="20"/>
                <w:szCs w:val="20"/>
              </w:rPr>
            </w:pPr>
            <w:r w:rsidRPr="006265EC">
              <w:rPr>
                <w:rFonts w:ascii="Arial" w:hAnsi="Arial" w:cs="Arial"/>
                <w:sz w:val="20"/>
                <w:szCs w:val="20"/>
              </w:rPr>
              <w:t>1:1000</w:t>
            </w:r>
          </w:p>
        </w:tc>
      </w:tr>
      <w:tr w:rsidR="00445B76" w:rsidRPr="006265EC" w14:paraId="46222199" w14:textId="77777777" w:rsidTr="00445B76">
        <w:tc>
          <w:tcPr>
            <w:tcW w:w="2391" w:type="dxa"/>
          </w:tcPr>
          <w:p w14:paraId="60E8E00E" w14:textId="77777777" w:rsidR="00445B76" w:rsidRPr="006265EC" w:rsidRDefault="00445B76" w:rsidP="006265EC">
            <w:pPr>
              <w:rPr>
                <w:rFonts w:ascii="Arial" w:hAnsi="Arial" w:cs="Arial"/>
                <w:color w:val="000000"/>
                <w:sz w:val="20"/>
                <w:szCs w:val="20"/>
              </w:rPr>
            </w:pPr>
            <w:r w:rsidRPr="006265EC">
              <w:rPr>
                <w:rFonts w:ascii="Arial" w:hAnsi="Arial" w:cs="Arial"/>
                <w:color w:val="000000"/>
                <w:sz w:val="20"/>
                <w:szCs w:val="20"/>
              </w:rPr>
              <w:t>PKCα</w:t>
            </w:r>
          </w:p>
        </w:tc>
        <w:tc>
          <w:tcPr>
            <w:tcW w:w="2429" w:type="dxa"/>
          </w:tcPr>
          <w:p w14:paraId="60E86D00" w14:textId="77777777" w:rsidR="00445B76" w:rsidRPr="006265EC" w:rsidRDefault="00445B76" w:rsidP="006265EC">
            <w:pPr>
              <w:rPr>
                <w:rFonts w:ascii="Arial" w:hAnsi="Arial" w:cs="Arial"/>
                <w:sz w:val="20"/>
                <w:szCs w:val="20"/>
              </w:rPr>
            </w:pPr>
            <w:r w:rsidRPr="006265EC">
              <w:rPr>
                <w:rFonts w:ascii="Arial" w:hAnsi="Arial" w:cs="Arial"/>
                <w:sz w:val="20"/>
                <w:szCs w:val="20"/>
              </w:rPr>
              <w:t>Abcam Inc.</w:t>
            </w:r>
          </w:p>
        </w:tc>
        <w:tc>
          <w:tcPr>
            <w:tcW w:w="1701" w:type="dxa"/>
          </w:tcPr>
          <w:p w14:paraId="4FAA72C3" w14:textId="77777777" w:rsidR="00445B76" w:rsidRPr="006265EC" w:rsidRDefault="00445B76" w:rsidP="006265EC">
            <w:pPr>
              <w:rPr>
                <w:rFonts w:ascii="Arial" w:hAnsi="Arial" w:cs="Arial"/>
                <w:sz w:val="20"/>
                <w:szCs w:val="20"/>
              </w:rPr>
            </w:pPr>
            <w:proofErr w:type="gramStart"/>
            <w:r w:rsidRPr="006265EC">
              <w:rPr>
                <w:rFonts w:ascii="Arial" w:hAnsi="Arial" w:cs="Arial"/>
                <w:sz w:val="20"/>
                <w:szCs w:val="20"/>
              </w:rPr>
              <w:t>ab32376</w:t>
            </w:r>
            <w:proofErr w:type="gramEnd"/>
          </w:p>
        </w:tc>
        <w:tc>
          <w:tcPr>
            <w:tcW w:w="1276" w:type="dxa"/>
          </w:tcPr>
          <w:p w14:paraId="590193E8" w14:textId="77777777" w:rsidR="00445B76" w:rsidRPr="006265EC" w:rsidRDefault="00445B76" w:rsidP="006265EC">
            <w:pPr>
              <w:rPr>
                <w:rFonts w:ascii="Arial" w:hAnsi="Arial" w:cs="Arial"/>
                <w:sz w:val="20"/>
                <w:szCs w:val="20"/>
              </w:rPr>
            </w:pPr>
            <w:r w:rsidRPr="006265EC">
              <w:rPr>
                <w:rFonts w:ascii="Arial" w:hAnsi="Arial" w:cs="Arial"/>
                <w:sz w:val="20"/>
                <w:szCs w:val="20"/>
              </w:rPr>
              <w:t>Mouse</w:t>
            </w:r>
          </w:p>
        </w:tc>
        <w:tc>
          <w:tcPr>
            <w:tcW w:w="1134" w:type="dxa"/>
          </w:tcPr>
          <w:p w14:paraId="2C9408CB" w14:textId="77777777" w:rsidR="00445B76" w:rsidRPr="006265EC" w:rsidRDefault="00445B76" w:rsidP="006265EC">
            <w:pPr>
              <w:rPr>
                <w:rFonts w:ascii="Arial" w:hAnsi="Arial" w:cs="Arial"/>
                <w:sz w:val="20"/>
                <w:szCs w:val="20"/>
              </w:rPr>
            </w:pPr>
            <w:r w:rsidRPr="006265EC">
              <w:rPr>
                <w:rFonts w:ascii="Arial" w:hAnsi="Arial" w:cs="Arial"/>
                <w:sz w:val="20"/>
                <w:szCs w:val="20"/>
              </w:rPr>
              <w:t>1:1000</w:t>
            </w:r>
          </w:p>
        </w:tc>
      </w:tr>
      <w:tr w:rsidR="00445B76" w:rsidRPr="006265EC" w14:paraId="142C230E" w14:textId="77777777" w:rsidTr="00445B76">
        <w:tc>
          <w:tcPr>
            <w:tcW w:w="2391" w:type="dxa"/>
          </w:tcPr>
          <w:p w14:paraId="266FB9DC" w14:textId="77777777" w:rsidR="00445B76" w:rsidRPr="006265EC" w:rsidRDefault="00445B76" w:rsidP="006265EC">
            <w:pPr>
              <w:rPr>
                <w:rFonts w:ascii="Arial" w:hAnsi="Arial" w:cs="Arial"/>
                <w:color w:val="000000"/>
                <w:sz w:val="20"/>
                <w:szCs w:val="20"/>
              </w:rPr>
            </w:pPr>
            <w:r w:rsidRPr="006265EC">
              <w:rPr>
                <w:rFonts w:ascii="Arial" w:hAnsi="Arial" w:cs="Arial"/>
                <w:color w:val="000000"/>
                <w:sz w:val="20"/>
                <w:szCs w:val="20"/>
              </w:rPr>
              <w:t>Na-K ATPase</w:t>
            </w:r>
          </w:p>
        </w:tc>
        <w:tc>
          <w:tcPr>
            <w:tcW w:w="2429" w:type="dxa"/>
          </w:tcPr>
          <w:p w14:paraId="2739E725" w14:textId="77777777" w:rsidR="00445B76" w:rsidRPr="006265EC" w:rsidRDefault="00445B76" w:rsidP="006265EC">
            <w:pPr>
              <w:rPr>
                <w:rFonts w:ascii="Arial" w:hAnsi="Arial" w:cs="Arial"/>
                <w:b/>
                <w:bCs/>
                <w:sz w:val="20"/>
                <w:szCs w:val="20"/>
              </w:rPr>
            </w:pPr>
            <w:r w:rsidRPr="006265EC">
              <w:rPr>
                <w:rFonts w:ascii="Arial" w:hAnsi="Arial" w:cs="Arial"/>
                <w:sz w:val="20"/>
                <w:szCs w:val="20"/>
              </w:rPr>
              <w:t>Abcam Inc.</w:t>
            </w:r>
          </w:p>
        </w:tc>
        <w:tc>
          <w:tcPr>
            <w:tcW w:w="1701" w:type="dxa"/>
          </w:tcPr>
          <w:p w14:paraId="73652F16" w14:textId="77777777" w:rsidR="00445B76" w:rsidRPr="006265EC" w:rsidRDefault="00445B76" w:rsidP="006265EC">
            <w:pPr>
              <w:rPr>
                <w:rFonts w:ascii="Arial" w:hAnsi="Arial" w:cs="Arial"/>
                <w:sz w:val="20"/>
                <w:szCs w:val="20"/>
              </w:rPr>
            </w:pPr>
            <w:proofErr w:type="gramStart"/>
            <w:r w:rsidRPr="006265EC">
              <w:rPr>
                <w:rFonts w:ascii="Arial" w:hAnsi="Arial" w:cs="Arial"/>
                <w:sz w:val="20"/>
                <w:szCs w:val="20"/>
              </w:rPr>
              <w:t>ab76020</w:t>
            </w:r>
            <w:proofErr w:type="gramEnd"/>
          </w:p>
        </w:tc>
        <w:tc>
          <w:tcPr>
            <w:tcW w:w="1276" w:type="dxa"/>
          </w:tcPr>
          <w:p w14:paraId="0BCC451F" w14:textId="77777777" w:rsidR="00445B76" w:rsidRPr="006265EC" w:rsidRDefault="00445B76" w:rsidP="006265EC">
            <w:pPr>
              <w:rPr>
                <w:rFonts w:ascii="Arial" w:hAnsi="Arial" w:cs="Arial"/>
                <w:sz w:val="20"/>
                <w:szCs w:val="20"/>
              </w:rPr>
            </w:pPr>
            <w:r w:rsidRPr="006265EC">
              <w:rPr>
                <w:rFonts w:ascii="Arial" w:hAnsi="Arial" w:cs="Arial"/>
                <w:sz w:val="20"/>
                <w:szCs w:val="20"/>
              </w:rPr>
              <w:t>Rabbit</w:t>
            </w:r>
          </w:p>
        </w:tc>
        <w:tc>
          <w:tcPr>
            <w:tcW w:w="1134" w:type="dxa"/>
          </w:tcPr>
          <w:p w14:paraId="36847FEB" w14:textId="77777777" w:rsidR="00445B76" w:rsidRPr="006265EC" w:rsidRDefault="00445B76" w:rsidP="006265EC">
            <w:pPr>
              <w:rPr>
                <w:rFonts w:ascii="Arial" w:hAnsi="Arial" w:cs="Arial"/>
                <w:sz w:val="20"/>
                <w:szCs w:val="20"/>
              </w:rPr>
            </w:pPr>
            <w:r w:rsidRPr="006265EC">
              <w:rPr>
                <w:rFonts w:ascii="Arial" w:hAnsi="Arial" w:cs="Arial"/>
                <w:sz w:val="20"/>
                <w:szCs w:val="20"/>
              </w:rPr>
              <w:t>1:10,000</w:t>
            </w:r>
          </w:p>
        </w:tc>
      </w:tr>
    </w:tbl>
    <w:p w14:paraId="6CF7C7B1" w14:textId="77777777" w:rsidR="005B7520" w:rsidRPr="006265EC" w:rsidRDefault="005B7520" w:rsidP="006265EC">
      <w:pPr>
        <w:rPr>
          <w:rFonts w:ascii="Arial" w:hAnsi="Arial" w:cs="Arial"/>
          <w:color w:val="000000" w:themeColor="text1"/>
        </w:rPr>
      </w:pPr>
    </w:p>
    <w:p w14:paraId="3E2A87F6" w14:textId="6FD933EA" w:rsidR="00585C99" w:rsidRPr="006265EC" w:rsidRDefault="005B7520" w:rsidP="006265EC">
      <w:pPr>
        <w:rPr>
          <w:rFonts w:ascii="Arial" w:hAnsi="Arial" w:cs="Arial"/>
        </w:rPr>
      </w:pPr>
      <w:r w:rsidRPr="006265EC">
        <w:rPr>
          <w:rFonts w:ascii="Arial" w:hAnsi="Arial" w:cs="Arial"/>
        </w:rPr>
        <w:t xml:space="preserve"> </w:t>
      </w:r>
      <w:r w:rsidR="00585C99" w:rsidRPr="006265EC">
        <w:rPr>
          <w:rFonts w:ascii="Arial" w:hAnsi="Arial" w:cs="Arial"/>
        </w:rPr>
        <w:br w:type="page"/>
      </w:r>
    </w:p>
    <w:p w14:paraId="00AEC92E" w14:textId="01281CAA" w:rsidR="00585C99" w:rsidRPr="006265EC" w:rsidRDefault="00585C99" w:rsidP="006265EC">
      <w:pPr>
        <w:rPr>
          <w:rFonts w:ascii="Arial" w:hAnsi="Arial" w:cs="Arial"/>
          <w:b/>
          <w:bCs/>
        </w:rPr>
      </w:pPr>
    </w:p>
    <w:p w14:paraId="4C6890E6" w14:textId="2C3FCF01" w:rsidR="00585C99" w:rsidRPr="006265EC" w:rsidRDefault="004D2D11" w:rsidP="006265EC">
      <w:pPr>
        <w:rPr>
          <w:rFonts w:ascii="Arial" w:hAnsi="Arial" w:cs="Arial"/>
          <w:b/>
          <w:bCs/>
        </w:rPr>
      </w:pPr>
      <w:r w:rsidRPr="006265EC">
        <w:rPr>
          <w:rFonts w:ascii="Arial" w:hAnsi="Arial" w:cs="Arial"/>
          <w:b/>
          <w:bCs/>
          <w:noProof/>
          <w:lang w:val="en-US" w:eastAsia="en-US"/>
        </w:rPr>
        <w:drawing>
          <wp:inline distT="0" distB="0" distL="0" distR="0" wp14:anchorId="0A1067E0" wp14:editId="4D08D508">
            <wp:extent cx="3058907" cy="3043123"/>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5452" cy="3049634"/>
                    </a:xfrm>
                    <a:prstGeom prst="rect">
                      <a:avLst/>
                    </a:prstGeom>
                    <a:noFill/>
                    <a:ln>
                      <a:noFill/>
                    </a:ln>
                  </pic:spPr>
                </pic:pic>
              </a:graphicData>
            </a:graphic>
          </wp:inline>
        </w:drawing>
      </w:r>
      <w:bookmarkStart w:id="2" w:name="_GoBack"/>
      <w:bookmarkEnd w:id="2"/>
    </w:p>
    <w:p w14:paraId="58EABF5D" w14:textId="77777777" w:rsidR="00345EB9" w:rsidRDefault="00585C99" w:rsidP="006265EC">
      <w:pPr>
        <w:rPr>
          <w:rFonts w:ascii="Arial" w:hAnsi="Arial" w:cs="Arial"/>
          <w:bCs/>
        </w:rPr>
      </w:pPr>
      <w:r w:rsidRPr="006265EC">
        <w:rPr>
          <w:rFonts w:ascii="Arial" w:hAnsi="Arial" w:cs="Arial"/>
          <w:b/>
          <w:bCs/>
        </w:rPr>
        <w:t>Figure 1</w:t>
      </w:r>
      <w:r w:rsidR="00AE27C0" w:rsidRPr="006265EC">
        <w:rPr>
          <w:rFonts w:ascii="Arial" w:hAnsi="Arial" w:cs="Arial"/>
          <w:b/>
          <w:bCs/>
        </w:rPr>
        <w:t xml:space="preserve">: Crude membrane fractionation of HEK293 </w:t>
      </w:r>
      <w:proofErr w:type="spellStart"/>
      <w:r w:rsidR="00AE27C0" w:rsidRPr="006265EC">
        <w:rPr>
          <w:rFonts w:ascii="Arial" w:hAnsi="Arial" w:cs="Arial"/>
          <w:b/>
          <w:bCs/>
        </w:rPr>
        <w:t>Flp</w:t>
      </w:r>
      <w:proofErr w:type="spellEnd"/>
      <w:r w:rsidR="00AE27C0" w:rsidRPr="006265EC">
        <w:rPr>
          <w:rFonts w:ascii="Arial" w:hAnsi="Arial" w:cs="Arial"/>
          <w:b/>
          <w:bCs/>
        </w:rPr>
        <w:t>-in T-</w:t>
      </w:r>
      <w:proofErr w:type="spellStart"/>
      <w:r w:rsidR="00AE27C0" w:rsidRPr="006265EC">
        <w:rPr>
          <w:rFonts w:ascii="Arial" w:hAnsi="Arial" w:cs="Arial"/>
          <w:b/>
          <w:bCs/>
        </w:rPr>
        <w:t>REx</w:t>
      </w:r>
      <w:proofErr w:type="spellEnd"/>
      <w:r w:rsidR="00AE27C0" w:rsidRPr="006265EC">
        <w:rPr>
          <w:rFonts w:ascii="Arial" w:hAnsi="Arial" w:cs="Arial"/>
          <w:b/>
          <w:bCs/>
        </w:rPr>
        <w:t>/GFP-LRRK1 WT cells following phorbol ester stimulation</w:t>
      </w:r>
      <w:r w:rsidRPr="006265EC">
        <w:rPr>
          <w:rFonts w:ascii="Arial" w:hAnsi="Arial" w:cs="Arial"/>
          <w:b/>
          <w:bCs/>
        </w:rPr>
        <w:t xml:space="preserve">. </w:t>
      </w:r>
      <w:r w:rsidR="00AE27C0" w:rsidRPr="006265EC">
        <w:rPr>
          <w:rFonts w:ascii="Arial" w:hAnsi="Arial" w:cs="Arial"/>
        </w:rPr>
        <w:t xml:space="preserve">HEK293 </w:t>
      </w:r>
      <w:proofErr w:type="spellStart"/>
      <w:r w:rsidR="00AE27C0" w:rsidRPr="006265EC">
        <w:rPr>
          <w:rFonts w:ascii="Arial" w:hAnsi="Arial" w:cs="Arial"/>
        </w:rPr>
        <w:t>Flp</w:t>
      </w:r>
      <w:proofErr w:type="spellEnd"/>
      <w:r w:rsidR="00AE27C0" w:rsidRPr="006265EC">
        <w:rPr>
          <w:rFonts w:ascii="Arial" w:hAnsi="Arial" w:cs="Arial"/>
        </w:rPr>
        <w:t>-in T-</w:t>
      </w:r>
      <w:proofErr w:type="spellStart"/>
      <w:r w:rsidR="00AE27C0" w:rsidRPr="006265EC">
        <w:rPr>
          <w:rFonts w:ascii="Arial" w:hAnsi="Arial" w:cs="Arial"/>
        </w:rPr>
        <w:t>REx</w:t>
      </w:r>
      <w:proofErr w:type="spellEnd"/>
      <w:r w:rsidR="00AE27C0" w:rsidRPr="006265EC">
        <w:rPr>
          <w:rFonts w:ascii="Arial" w:hAnsi="Arial" w:cs="Arial"/>
        </w:rPr>
        <w:t>/GFP-LRRK1 WT cells</w:t>
      </w:r>
      <w:r w:rsidR="00AE27C0" w:rsidRPr="006265EC">
        <w:rPr>
          <w:rFonts w:ascii="Arial" w:hAnsi="Arial" w:cs="Arial"/>
          <w:bCs/>
        </w:rPr>
        <w:t xml:space="preserve"> were induced to express GFP-LRRK1 </w:t>
      </w:r>
      <w:r w:rsidR="00345EB9">
        <w:rPr>
          <w:rFonts w:ascii="Arial" w:hAnsi="Arial" w:cs="Arial"/>
          <w:bCs/>
        </w:rPr>
        <w:t>wild type</w:t>
      </w:r>
      <w:r w:rsidR="00AE27C0" w:rsidRPr="006265EC">
        <w:rPr>
          <w:rFonts w:ascii="Arial" w:hAnsi="Arial" w:cs="Arial"/>
          <w:bCs/>
        </w:rPr>
        <w:t xml:space="preserve"> by treatment with 1mg/ml doxycycline for 24 h. Cells were then serum starved for 16 h and then treated ± </w:t>
      </w:r>
      <w:proofErr w:type="spellStart"/>
      <w:r w:rsidR="00345EB9">
        <w:rPr>
          <w:rFonts w:ascii="Arial" w:hAnsi="Arial" w:cs="Arial"/>
          <w:bCs/>
        </w:rPr>
        <w:t>Phorbol</w:t>
      </w:r>
      <w:proofErr w:type="spellEnd"/>
      <w:r w:rsidR="00345EB9">
        <w:rPr>
          <w:rFonts w:ascii="Arial" w:hAnsi="Arial" w:cs="Arial"/>
          <w:bCs/>
        </w:rPr>
        <w:t xml:space="preserve"> </w:t>
      </w:r>
      <w:proofErr w:type="spellStart"/>
      <w:r w:rsidR="00345EB9">
        <w:rPr>
          <w:rFonts w:ascii="Arial" w:hAnsi="Arial" w:cs="Arial"/>
          <w:bCs/>
        </w:rPr>
        <w:t>myristic</w:t>
      </w:r>
      <w:proofErr w:type="spellEnd"/>
      <w:r w:rsidR="00345EB9">
        <w:rPr>
          <w:rFonts w:ascii="Arial" w:hAnsi="Arial" w:cs="Arial"/>
          <w:bCs/>
        </w:rPr>
        <w:t xml:space="preserve"> acid (PMA)</w:t>
      </w:r>
      <w:r w:rsidR="00AE27C0" w:rsidRPr="006265EC">
        <w:rPr>
          <w:rFonts w:ascii="Arial" w:hAnsi="Arial" w:cs="Arial"/>
          <w:bCs/>
        </w:rPr>
        <w:t xml:space="preserve"> (100 ng/ml) for 30 min. Following this, fractionation </w:t>
      </w:r>
      <w:r w:rsidR="00345EB9">
        <w:rPr>
          <w:rFonts w:ascii="Arial" w:hAnsi="Arial" w:cs="Arial"/>
          <w:bCs/>
        </w:rPr>
        <w:t>was</w:t>
      </w:r>
      <w:r w:rsidR="00AE27C0" w:rsidRPr="006265EC">
        <w:rPr>
          <w:rFonts w:ascii="Arial" w:hAnsi="Arial" w:cs="Arial"/>
          <w:bCs/>
        </w:rPr>
        <w:t xml:space="preserve"> performed as described </w:t>
      </w:r>
      <w:r w:rsidR="002D4D01" w:rsidRPr="006265EC">
        <w:rPr>
          <w:rFonts w:ascii="Arial" w:hAnsi="Arial" w:cs="Arial"/>
          <w:bCs/>
        </w:rPr>
        <w:t xml:space="preserve">here </w:t>
      </w:r>
      <w:r w:rsidR="00AE27C0" w:rsidRPr="006265EC">
        <w:rPr>
          <w:rFonts w:ascii="Arial" w:hAnsi="Arial" w:cs="Arial"/>
          <w:bCs/>
        </w:rPr>
        <w:t>and samples were subjected to immunoblot analysis with the indicated antibodies</w:t>
      </w:r>
      <w:r w:rsidR="00345EB9">
        <w:rPr>
          <w:rFonts w:ascii="Arial" w:hAnsi="Arial" w:cs="Arial"/>
          <w:bCs/>
        </w:rPr>
        <w:t>;</w:t>
      </w:r>
      <w:r w:rsidR="00AE27C0" w:rsidRPr="006265EC">
        <w:rPr>
          <w:rFonts w:ascii="Arial" w:hAnsi="Arial" w:cs="Arial"/>
          <w:bCs/>
        </w:rPr>
        <w:t xml:space="preserve"> the membranes were </w:t>
      </w:r>
      <w:r w:rsidR="00345EB9">
        <w:rPr>
          <w:rFonts w:ascii="Arial" w:hAnsi="Arial" w:cs="Arial"/>
          <w:bCs/>
        </w:rPr>
        <w:t>visualized</w:t>
      </w:r>
      <w:r w:rsidR="00AE27C0" w:rsidRPr="006265EC">
        <w:rPr>
          <w:rFonts w:ascii="Arial" w:hAnsi="Arial" w:cs="Arial"/>
          <w:bCs/>
        </w:rPr>
        <w:t xml:space="preserve"> using the Odyssey </w:t>
      </w:r>
      <w:proofErr w:type="spellStart"/>
      <w:r w:rsidR="00AE27C0" w:rsidRPr="006265EC">
        <w:rPr>
          <w:rFonts w:ascii="Arial" w:hAnsi="Arial" w:cs="Arial"/>
          <w:bCs/>
        </w:rPr>
        <w:t>CLx</w:t>
      </w:r>
      <w:proofErr w:type="spellEnd"/>
      <w:r w:rsidR="00AE27C0" w:rsidRPr="006265EC">
        <w:rPr>
          <w:rFonts w:ascii="Arial" w:hAnsi="Arial" w:cs="Arial"/>
          <w:bCs/>
        </w:rPr>
        <w:t xml:space="preserve"> scan Western Blot imaging system.</w:t>
      </w:r>
      <w:r w:rsidR="002D4D01" w:rsidRPr="006265EC">
        <w:rPr>
          <w:rFonts w:ascii="Arial" w:hAnsi="Arial" w:cs="Arial"/>
          <w:bCs/>
        </w:rPr>
        <w:t xml:space="preserve"> </w:t>
      </w:r>
    </w:p>
    <w:p w14:paraId="0DE6495A" w14:textId="77777777" w:rsidR="00345EB9" w:rsidRDefault="00345EB9" w:rsidP="006265EC">
      <w:pPr>
        <w:rPr>
          <w:rFonts w:ascii="Arial" w:hAnsi="Arial" w:cs="Arial"/>
          <w:bCs/>
        </w:rPr>
      </w:pPr>
    </w:p>
    <w:p w14:paraId="28870010" w14:textId="40BC2BBA" w:rsidR="00585C99" w:rsidRPr="00345EB9" w:rsidRDefault="002D4D01" w:rsidP="006265EC">
      <w:pPr>
        <w:rPr>
          <w:rFonts w:ascii="Arial" w:hAnsi="Arial" w:cs="Arial"/>
        </w:rPr>
      </w:pPr>
      <w:r w:rsidRPr="00345EB9">
        <w:rPr>
          <w:rFonts w:ascii="Arial" w:hAnsi="Arial" w:cs="Arial"/>
          <w:bCs/>
          <w:i/>
          <w:iCs/>
        </w:rPr>
        <w:t xml:space="preserve">Adapted from </w:t>
      </w:r>
      <w:r w:rsidRPr="00345EB9">
        <w:rPr>
          <w:rFonts w:ascii="Arial" w:hAnsi="Arial" w:cs="Arial"/>
          <w:color w:val="333333"/>
          <w:shd w:val="clear" w:color="auto" w:fill="FFFFFF"/>
        </w:rPr>
        <w:t>https://doi.org/10.1101/2022.06.09.495448</w:t>
      </w:r>
      <w:r w:rsidRPr="00345EB9">
        <w:rPr>
          <w:rFonts w:ascii="Arial" w:hAnsi="Arial" w:cs="Arial"/>
        </w:rPr>
        <w:t>.</w:t>
      </w:r>
    </w:p>
    <w:p w14:paraId="465EC236" w14:textId="77777777" w:rsidR="0048501E" w:rsidRPr="006265EC" w:rsidRDefault="0048501E" w:rsidP="006265EC">
      <w:pPr>
        <w:rPr>
          <w:rFonts w:ascii="Arial" w:hAnsi="Arial" w:cs="Arial"/>
        </w:rPr>
      </w:pPr>
    </w:p>
    <w:sectPr w:rsidR="0048501E" w:rsidRPr="006265EC">
      <w:footerReference w:type="even" r:id="rId9"/>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CE003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838F" w16cex:dateUtc="2022-06-13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CE0030" w16cid:durableId="2651838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811E1" w14:textId="77777777" w:rsidR="003E4A9B" w:rsidRDefault="003E4A9B" w:rsidP="006265EC">
      <w:r>
        <w:separator/>
      </w:r>
    </w:p>
  </w:endnote>
  <w:endnote w:type="continuationSeparator" w:id="0">
    <w:p w14:paraId="01F63920" w14:textId="77777777" w:rsidR="003E4A9B" w:rsidRDefault="003E4A9B" w:rsidP="0062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CDBD2" w14:textId="77777777" w:rsidR="003E4A9B" w:rsidRDefault="003E4A9B" w:rsidP="00626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5C6BB4" w14:textId="77777777" w:rsidR="003E4A9B" w:rsidRDefault="003E4A9B" w:rsidP="006265E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A8E91" w14:textId="77777777" w:rsidR="003E4A9B" w:rsidRDefault="003E4A9B" w:rsidP="00626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5EB9">
      <w:rPr>
        <w:rStyle w:val="PageNumber"/>
        <w:noProof/>
      </w:rPr>
      <w:t>1</w:t>
    </w:r>
    <w:r>
      <w:rPr>
        <w:rStyle w:val="PageNumber"/>
      </w:rPr>
      <w:fldChar w:fldCharType="end"/>
    </w:r>
  </w:p>
  <w:p w14:paraId="34245D42" w14:textId="77777777" w:rsidR="003E4A9B" w:rsidRDefault="003E4A9B" w:rsidP="006265E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63993" w14:textId="77777777" w:rsidR="003E4A9B" w:rsidRDefault="003E4A9B" w:rsidP="006265EC">
      <w:r>
        <w:separator/>
      </w:r>
    </w:p>
  </w:footnote>
  <w:footnote w:type="continuationSeparator" w:id="0">
    <w:p w14:paraId="5FE4C428" w14:textId="77777777" w:rsidR="003E4A9B" w:rsidRDefault="003E4A9B" w:rsidP="006265E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esca Tonelli (Staff)">
    <w15:presenceInfo w15:providerId="AD" w15:userId="S::ftonelli@dundee.ac.uk::5999d2f7-4b10-4a7b-a6cf-e003eeee0b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99"/>
    <w:rsid w:val="00035362"/>
    <w:rsid w:val="00172148"/>
    <w:rsid w:val="00183F20"/>
    <w:rsid w:val="001B27F0"/>
    <w:rsid w:val="001E794C"/>
    <w:rsid w:val="0021225E"/>
    <w:rsid w:val="002D4D01"/>
    <w:rsid w:val="00345EB9"/>
    <w:rsid w:val="003A4958"/>
    <w:rsid w:val="003D070F"/>
    <w:rsid w:val="003E4A9B"/>
    <w:rsid w:val="00445B76"/>
    <w:rsid w:val="0048501E"/>
    <w:rsid w:val="004D2D11"/>
    <w:rsid w:val="00585C99"/>
    <w:rsid w:val="005B7520"/>
    <w:rsid w:val="006265EC"/>
    <w:rsid w:val="006856F9"/>
    <w:rsid w:val="006D1AD5"/>
    <w:rsid w:val="00A45CDA"/>
    <w:rsid w:val="00A87240"/>
    <w:rsid w:val="00AE27C0"/>
    <w:rsid w:val="00B14F4C"/>
    <w:rsid w:val="00B86739"/>
    <w:rsid w:val="00BB27B2"/>
    <w:rsid w:val="00BC30A9"/>
    <w:rsid w:val="00D05635"/>
    <w:rsid w:val="00D41A1D"/>
    <w:rsid w:val="00D5358B"/>
    <w:rsid w:val="00D71E19"/>
    <w:rsid w:val="00EA1988"/>
    <w:rsid w:val="00F2045D"/>
    <w:rsid w:val="00F818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59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0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C99"/>
    <w:rPr>
      <w:color w:val="0563C1" w:themeColor="hyperlink"/>
      <w:u w:val="single"/>
    </w:rPr>
  </w:style>
  <w:style w:type="table" w:styleId="TableGrid">
    <w:name w:val="Table Grid"/>
    <w:basedOn w:val="TableNormal"/>
    <w:uiPriority w:val="39"/>
    <w:rsid w:val="00585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B7520"/>
    <w:rPr>
      <w:color w:val="605E5C"/>
      <w:shd w:val="clear" w:color="auto" w:fill="E1DFDD"/>
    </w:rPr>
  </w:style>
  <w:style w:type="character" w:styleId="CommentReference">
    <w:name w:val="annotation reference"/>
    <w:basedOn w:val="DefaultParagraphFont"/>
    <w:uiPriority w:val="99"/>
    <w:semiHidden/>
    <w:unhideWhenUsed/>
    <w:rsid w:val="006856F9"/>
    <w:rPr>
      <w:sz w:val="16"/>
      <w:szCs w:val="16"/>
    </w:rPr>
  </w:style>
  <w:style w:type="paragraph" w:styleId="CommentText">
    <w:name w:val="annotation text"/>
    <w:basedOn w:val="Normal"/>
    <w:link w:val="CommentTextChar"/>
    <w:uiPriority w:val="99"/>
    <w:semiHidden/>
    <w:unhideWhenUsed/>
    <w:rsid w:val="006856F9"/>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856F9"/>
    <w:rPr>
      <w:sz w:val="20"/>
      <w:szCs w:val="20"/>
    </w:rPr>
  </w:style>
  <w:style w:type="paragraph" w:styleId="CommentSubject">
    <w:name w:val="annotation subject"/>
    <w:basedOn w:val="CommentText"/>
    <w:next w:val="CommentText"/>
    <w:link w:val="CommentSubjectChar"/>
    <w:uiPriority w:val="99"/>
    <w:semiHidden/>
    <w:unhideWhenUsed/>
    <w:rsid w:val="006856F9"/>
    <w:rPr>
      <w:b/>
      <w:bCs/>
    </w:rPr>
  </w:style>
  <w:style w:type="character" w:customStyle="1" w:styleId="CommentSubjectChar">
    <w:name w:val="Comment Subject Char"/>
    <w:basedOn w:val="CommentTextChar"/>
    <w:link w:val="CommentSubject"/>
    <w:uiPriority w:val="99"/>
    <w:semiHidden/>
    <w:rsid w:val="006856F9"/>
    <w:rPr>
      <w:b/>
      <w:bCs/>
      <w:sz w:val="20"/>
      <w:szCs w:val="20"/>
    </w:rPr>
  </w:style>
  <w:style w:type="paragraph" w:styleId="Footer">
    <w:name w:val="footer"/>
    <w:basedOn w:val="Normal"/>
    <w:link w:val="FooterChar"/>
    <w:uiPriority w:val="99"/>
    <w:unhideWhenUsed/>
    <w:rsid w:val="006265EC"/>
    <w:pPr>
      <w:tabs>
        <w:tab w:val="center" w:pos="4320"/>
        <w:tab w:val="right" w:pos="8640"/>
      </w:tabs>
    </w:pPr>
  </w:style>
  <w:style w:type="character" w:customStyle="1" w:styleId="FooterChar">
    <w:name w:val="Footer Char"/>
    <w:basedOn w:val="DefaultParagraphFont"/>
    <w:link w:val="Footer"/>
    <w:uiPriority w:val="99"/>
    <w:rsid w:val="006265EC"/>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6265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0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C99"/>
    <w:rPr>
      <w:color w:val="0563C1" w:themeColor="hyperlink"/>
      <w:u w:val="single"/>
    </w:rPr>
  </w:style>
  <w:style w:type="table" w:styleId="TableGrid">
    <w:name w:val="Table Grid"/>
    <w:basedOn w:val="TableNormal"/>
    <w:uiPriority w:val="39"/>
    <w:rsid w:val="00585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B7520"/>
    <w:rPr>
      <w:color w:val="605E5C"/>
      <w:shd w:val="clear" w:color="auto" w:fill="E1DFDD"/>
    </w:rPr>
  </w:style>
  <w:style w:type="character" w:styleId="CommentReference">
    <w:name w:val="annotation reference"/>
    <w:basedOn w:val="DefaultParagraphFont"/>
    <w:uiPriority w:val="99"/>
    <w:semiHidden/>
    <w:unhideWhenUsed/>
    <w:rsid w:val="006856F9"/>
    <w:rPr>
      <w:sz w:val="16"/>
      <w:szCs w:val="16"/>
    </w:rPr>
  </w:style>
  <w:style w:type="paragraph" w:styleId="CommentText">
    <w:name w:val="annotation text"/>
    <w:basedOn w:val="Normal"/>
    <w:link w:val="CommentTextChar"/>
    <w:uiPriority w:val="99"/>
    <w:semiHidden/>
    <w:unhideWhenUsed/>
    <w:rsid w:val="006856F9"/>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856F9"/>
    <w:rPr>
      <w:sz w:val="20"/>
      <w:szCs w:val="20"/>
    </w:rPr>
  </w:style>
  <w:style w:type="paragraph" w:styleId="CommentSubject">
    <w:name w:val="annotation subject"/>
    <w:basedOn w:val="CommentText"/>
    <w:next w:val="CommentText"/>
    <w:link w:val="CommentSubjectChar"/>
    <w:uiPriority w:val="99"/>
    <w:semiHidden/>
    <w:unhideWhenUsed/>
    <w:rsid w:val="006856F9"/>
    <w:rPr>
      <w:b/>
      <w:bCs/>
    </w:rPr>
  </w:style>
  <w:style w:type="character" w:customStyle="1" w:styleId="CommentSubjectChar">
    <w:name w:val="Comment Subject Char"/>
    <w:basedOn w:val="CommentTextChar"/>
    <w:link w:val="CommentSubject"/>
    <w:uiPriority w:val="99"/>
    <w:semiHidden/>
    <w:rsid w:val="006856F9"/>
    <w:rPr>
      <w:b/>
      <w:bCs/>
      <w:sz w:val="20"/>
      <w:szCs w:val="20"/>
    </w:rPr>
  </w:style>
  <w:style w:type="paragraph" w:styleId="Footer">
    <w:name w:val="footer"/>
    <w:basedOn w:val="Normal"/>
    <w:link w:val="FooterChar"/>
    <w:uiPriority w:val="99"/>
    <w:unhideWhenUsed/>
    <w:rsid w:val="006265EC"/>
    <w:pPr>
      <w:tabs>
        <w:tab w:val="center" w:pos="4320"/>
        <w:tab w:val="right" w:pos="8640"/>
      </w:tabs>
    </w:pPr>
  </w:style>
  <w:style w:type="character" w:customStyle="1" w:styleId="FooterChar">
    <w:name w:val="Footer Char"/>
    <w:basedOn w:val="DefaultParagraphFont"/>
    <w:link w:val="Footer"/>
    <w:uiPriority w:val="99"/>
    <w:rsid w:val="006265EC"/>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62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09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5" Type="http://schemas.microsoft.com/office/2016/09/relationships/commentsIds" Target="commentsIds.xml"/><Relationship Id="rId16"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E28F3-B78A-CB48-84B1-4087A1E0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1151</Words>
  <Characters>6561</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 Malik (PG Research)</dc:creator>
  <cp:keywords/>
  <dc:description/>
  <cp:lastModifiedBy>Suzanne</cp:lastModifiedBy>
  <cp:revision>2</cp:revision>
  <dcterms:created xsi:type="dcterms:W3CDTF">2022-06-13T17:41:00Z</dcterms:created>
  <dcterms:modified xsi:type="dcterms:W3CDTF">2022-06-13T17:41:00Z</dcterms:modified>
</cp:coreProperties>
</file>