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D393" w14:textId="64E9E836" w:rsidR="00A449A0" w:rsidRPr="005570F1" w:rsidRDefault="00A449A0" w:rsidP="00A449A0">
      <w:pPr>
        <w:pStyle w:val="SMText"/>
        <w:spacing w:line="480" w:lineRule="auto"/>
        <w:ind w:firstLine="0"/>
        <w:rPr>
          <w:b/>
          <w:bCs/>
          <w:szCs w:val="24"/>
          <w:u w:val="single"/>
        </w:rPr>
      </w:pPr>
      <w:r w:rsidRPr="005570F1">
        <w:rPr>
          <w:b/>
          <w:bCs/>
          <w:szCs w:val="24"/>
          <w:u w:val="single"/>
        </w:rPr>
        <w:t>Solid phase binding assay</w:t>
      </w:r>
      <w:r w:rsidR="00C33355" w:rsidRPr="005570F1">
        <w:rPr>
          <w:b/>
          <w:bCs/>
          <w:szCs w:val="24"/>
          <w:u w:val="single"/>
        </w:rPr>
        <w:t xml:space="preserve"> - </w:t>
      </w:r>
      <w:proofErr w:type="spellStart"/>
      <w:r w:rsidR="00C33355" w:rsidRPr="005570F1">
        <w:rPr>
          <w:b/>
          <w:bCs/>
          <w:szCs w:val="24"/>
          <w:u w:val="single"/>
        </w:rPr>
        <w:t>Clusterin</w:t>
      </w:r>
      <w:proofErr w:type="spellEnd"/>
      <w:r w:rsidR="00C33355" w:rsidRPr="005570F1">
        <w:rPr>
          <w:b/>
          <w:bCs/>
          <w:szCs w:val="24"/>
          <w:u w:val="single"/>
        </w:rPr>
        <w:t xml:space="preserve"> binding to V</w:t>
      </w:r>
      <w:r w:rsidR="00EF1933" w:rsidRPr="005570F1">
        <w:rPr>
          <w:b/>
          <w:bCs/>
          <w:szCs w:val="24"/>
          <w:u w:val="single"/>
        </w:rPr>
        <w:t xml:space="preserve">ery </w:t>
      </w:r>
      <w:r w:rsidR="00C33355" w:rsidRPr="005570F1">
        <w:rPr>
          <w:b/>
          <w:bCs/>
          <w:szCs w:val="24"/>
          <w:u w:val="single"/>
        </w:rPr>
        <w:t>L</w:t>
      </w:r>
      <w:r w:rsidR="00EF1933" w:rsidRPr="005570F1">
        <w:rPr>
          <w:b/>
          <w:bCs/>
          <w:szCs w:val="24"/>
          <w:u w:val="single"/>
        </w:rPr>
        <w:t>ow-</w:t>
      </w:r>
      <w:r w:rsidR="00C33355" w:rsidRPr="005570F1">
        <w:rPr>
          <w:b/>
          <w:bCs/>
          <w:szCs w:val="24"/>
          <w:u w:val="single"/>
        </w:rPr>
        <w:t>D</w:t>
      </w:r>
      <w:r w:rsidR="00EF1933" w:rsidRPr="005570F1">
        <w:rPr>
          <w:b/>
          <w:bCs/>
          <w:szCs w:val="24"/>
          <w:u w:val="single"/>
        </w:rPr>
        <w:t xml:space="preserve">ensity </w:t>
      </w:r>
      <w:r w:rsidR="00C33355" w:rsidRPr="005570F1">
        <w:rPr>
          <w:b/>
          <w:bCs/>
          <w:szCs w:val="24"/>
          <w:u w:val="single"/>
        </w:rPr>
        <w:t>L</w:t>
      </w:r>
      <w:r w:rsidR="00EF1933" w:rsidRPr="005570F1">
        <w:rPr>
          <w:b/>
          <w:bCs/>
          <w:szCs w:val="24"/>
          <w:u w:val="single"/>
        </w:rPr>
        <w:t xml:space="preserve">ipoprotein </w:t>
      </w:r>
      <w:r w:rsidR="00C33355" w:rsidRPr="005570F1">
        <w:rPr>
          <w:b/>
          <w:bCs/>
          <w:szCs w:val="24"/>
          <w:u w:val="single"/>
        </w:rPr>
        <w:t>R</w:t>
      </w:r>
      <w:r w:rsidR="00EF1933" w:rsidRPr="005570F1">
        <w:rPr>
          <w:b/>
          <w:bCs/>
          <w:szCs w:val="24"/>
          <w:u w:val="single"/>
        </w:rPr>
        <w:t>eceptor (VLDLR)</w:t>
      </w:r>
      <w:r w:rsidR="00C33355" w:rsidRPr="005570F1">
        <w:rPr>
          <w:b/>
          <w:bCs/>
          <w:szCs w:val="24"/>
          <w:u w:val="single"/>
        </w:rPr>
        <w:t>.</w:t>
      </w:r>
    </w:p>
    <w:p w14:paraId="1499AAB5" w14:textId="77777777" w:rsidR="00F314B4" w:rsidRPr="005570F1" w:rsidRDefault="00F314B4" w:rsidP="00F314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70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Authors: </w:t>
      </w:r>
      <w:r w:rsidRPr="005570F1">
        <w:rPr>
          <w:rFonts w:ascii="Times New Roman" w:hAnsi="Times New Roman" w:cs="Times New Roman"/>
          <w:sz w:val="24"/>
          <w:szCs w:val="24"/>
          <w:lang w:val="en-US"/>
        </w:rPr>
        <w:t>Patricia Yuste-Checa</w:t>
      </w:r>
      <w:r w:rsidRPr="005570F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570F1">
        <w:rPr>
          <w:rFonts w:ascii="Times New Roman" w:hAnsi="Times New Roman" w:cs="Times New Roman"/>
          <w:sz w:val="24"/>
          <w:szCs w:val="24"/>
          <w:lang w:val="en-US"/>
        </w:rPr>
        <w:t>, Andreas Bracher</w:t>
      </w:r>
      <w:r w:rsidRPr="005570F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570F1">
        <w:rPr>
          <w:rFonts w:ascii="Times New Roman" w:hAnsi="Times New Roman" w:cs="Times New Roman"/>
          <w:sz w:val="24"/>
          <w:szCs w:val="24"/>
          <w:lang w:val="en-US"/>
        </w:rPr>
        <w:t>, F Ulrich Hartl</w:t>
      </w:r>
      <w:r w:rsidRPr="005570F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6636AFE7" w14:textId="77777777" w:rsidR="00F314B4" w:rsidRPr="005570F1" w:rsidRDefault="00F314B4" w:rsidP="00F314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70F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570F1">
        <w:rPr>
          <w:rFonts w:ascii="Times New Roman" w:hAnsi="Times New Roman" w:cs="Times New Roman"/>
          <w:sz w:val="24"/>
          <w:szCs w:val="24"/>
          <w:lang w:val="en-US"/>
        </w:rPr>
        <w:t>Department of Cellular Biochemistry, Max Planck Institute of Biochemistry</w:t>
      </w:r>
    </w:p>
    <w:p w14:paraId="5B071C10" w14:textId="77777777" w:rsidR="00F314B4" w:rsidRPr="005570F1" w:rsidRDefault="00F314B4" w:rsidP="00F314B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CC8846" w14:textId="77777777" w:rsidR="00F314B4" w:rsidRPr="005570F1" w:rsidRDefault="00F314B4" w:rsidP="00F314B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70F1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14:paraId="5394C5F0" w14:textId="2F04621A" w:rsidR="00F314B4" w:rsidRPr="005570F1" w:rsidRDefault="00F314B4" w:rsidP="00F314B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70F1">
        <w:rPr>
          <w:rFonts w:ascii="Times New Roman" w:hAnsi="Times New Roman" w:cs="Times New Roman"/>
          <w:sz w:val="24"/>
          <w:szCs w:val="24"/>
          <w:lang w:val="en-US"/>
        </w:rPr>
        <w:t xml:space="preserve">This protocol details how to monitor </w:t>
      </w:r>
      <w:proofErr w:type="spellStart"/>
      <w:r w:rsidRPr="005570F1">
        <w:rPr>
          <w:rFonts w:ascii="Times New Roman" w:hAnsi="Times New Roman" w:cs="Times New Roman"/>
          <w:sz w:val="24"/>
          <w:szCs w:val="24"/>
          <w:lang w:val="en-US"/>
        </w:rPr>
        <w:t>Clusterin</w:t>
      </w:r>
      <w:proofErr w:type="spellEnd"/>
      <w:r w:rsidRPr="005570F1">
        <w:rPr>
          <w:rFonts w:ascii="Times New Roman" w:hAnsi="Times New Roman" w:cs="Times New Roman"/>
          <w:sz w:val="24"/>
          <w:szCs w:val="24"/>
          <w:lang w:val="en-US"/>
        </w:rPr>
        <w:t xml:space="preserve"> binding to the Very Low-Density Lipoprotein Receptor (VLDLR) by Enzyme-linked immunosorbent assays (ELISA)</w:t>
      </w:r>
      <w:r w:rsidR="00336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410F" w:rsidRPr="0039410F">
        <w:rPr>
          <w:rFonts w:ascii="Times New Roman" w:hAnsi="Times New Roman" w:cs="Times New Roman"/>
          <w:sz w:val="24"/>
          <w:szCs w:val="24"/>
          <w:lang w:val="en-US"/>
        </w:rPr>
        <w:t>adapted from</w:t>
      </w:r>
      <w:r w:rsidR="00394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663A">
        <w:rPr>
          <w:rFonts w:ascii="Times New Roman" w:hAnsi="Times New Roman" w:cs="Times New Roman"/>
          <w:sz w:val="24"/>
          <w:szCs w:val="24"/>
          <w:lang w:val="en-US"/>
        </w:rPr>
        <w:t>Leeb</w:t>
      </w:r>
      <w:proofErr w:type="spellEnd"/>
      <w:r w:rsidR="00336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663A" w:rsidRPr="0039410F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al.</w:t>
      </w:r>
      <w:r w:rsidR="0033663A">
        <w:rPr>
          <w:rFonts w:ascii="Times New Roman" w:hAnsi="Times New Roman" w:cs="Times New Roman"/>
          <w:sz w:val="24"/>
          <w:szCs w:val="24"/>
          <w:lang w:val="en-US"/>
        </w:rPr>
        <w:t xml:space="preserve"> (2014)</w:t>
      </w:r>
      <w:r w:rsidRPr="005570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D7A603B" w14:textId="45A7CC83" w:rsidR="00F314B4" w:rsidRPr="005570F1" w:rsidRDefault="00F314B4" w:rsidP="00F314B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70F1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557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0F1">
        <w:rPr>
          <w:rFonts w:ascii="Times New Roman" w:hAnsi="Times New Roman" w:cs="Times New Roman"/>
          <w:sz w:val="24"/>
          <w:szCs w:val="24"/>
          <w:lang w:val="en-US"/>
        </w:rPr>
        <w:t>Clusterin</w:t>
      </w:r>
      <w:proofErr w:type="spellEnd"/>
      <w:r w:rsidRPr="005570F1">
        <w:rPr>
          <w:rFonts w:ascii="Times New Roman" w:hAnsi="Times New Roman" w:cs="Times New Roman"/>
          <w:sz w:val="24"/>
          <w:szCs w:val="24"/>
          <w:lang w:val="en-US"/>
        </w:rPr>
        <w:t>, VLDLR, ELISA.</w:t>
      </w:r>
    </w:p>
    <w:p w14:paraId="7C7E4E95" w14:textId="77777777" w:rsidR="00F314B4" w:rsidRPr="00F314B4" w:rsidRDefault="00F314B4" w:rsidP="00A449A0">
      <w:pPr>
        <w:pStyle w:val="SMText"/>
        <w:spacing w:line="480" w:lineRule="auto"/>
        <w:ind w:firstLine="0"/>
        <w:rPr>
          <w:b/>
          <w:bCs/>
          <w:szCs w:val="24"/>
          <w:u w:val="single"/>
          <w:lang w:val="es-ES"/>
        </w:rPr>
      </w:pPr>
    </w:p>
    <w:p w14:paraId="5DC6B54E" w14:textId="2B264E19" w:rsidR="009E3F30" w:rsidRPr="00A449A0" w:rsidRDefault="00A449A0" w:rsidP="00A449A0">
      <w:pPr>
        <w:pStyle w:val="SMText"/>
        <w:spacing w:line="480" w:lineRule="auto"/>
        <w:ind w:firstLine="0"/>
        <w:rPr>
          <w:szCs w:val="24"/>
          <w:u w:val="single"/>
        </w:rPr>
      </w:pPr>
      <w:r w:rsidRPr="00A449A0">
        <w:rPr>
          <w:szCs w:val="24"/>
          <w:u w:val="single"/>
        </w:rPr>
        <w:t>Buffers</w:t>
      </w:r>
    </w:p>
    <w:p w14:paraId="079ADDC1" w14:textId="71970DC9" w:rsidR="00A449A0" w:rsidRPr="00C33355" w:rsidRDefault="00A449A0" w:rsidP="00A449A0">
      <w:pPr>
        <w:pStyle w:val="SMText"/>
        <w:spacing w:line="480" w:lineRule="auto"/>
        <w:ind w:firstLine="0"/>
      </w:pPr>
      <w:r w:rsidRPr="00CC6653">
        <w:t>TBS-C</w:t>
      </w:r>
      <w:r>
        <w:t xml:space="preserve">: </w:t>
      </w:r>
      <w:r w:rsidRPr="00CC6653">
        <w:t>Tris-Buffered Saline pH 7.4, 2 mM CaCl</w:t>
      </w:r>
      <w:r w:rsidRPr="00CC6653">
        <w:rPr>
          <w:vertAlign w:val="subscript"/>
        </w:rPr>
        <w:t>2</w:t>
      </w:r>
    </w:p>
    <w:p w14:paraId="47B50A8E" w14:textId="42B572FE" w:rsidR="00A449A0" w:rsidRDefault="00A449A0" w:rsidP="00A449A0">
      <w:pPr>
        <w:pStyle w:val="SMText"/>
        <w:spacing w:line="480" w:lineRule="auto"/>
        <w:ind w:firstLine="0"/>
      </w:pPr>
      <w:r>
        <w:t>B</w:t>
      </w:r>
      <w:r w:rsidRPr="00CC6653">
        <w:t>locking</w:t>
      </w:r>
      <w:r w:rsidR="00D609CE">
        <w:t xml:space="preserve"> solution</w:t>
      </w:r>
      <w:r>
        <w:t xml:space="preserve">: </w:t>
      </w:r>
      <w:r w:rsidRPr="00CC6653">
        <w:t>2% BSA, 0.05% Tween</w:t>
      </w:r>
      <w:r>
        <w:t xml:space="preserve"> in TBS-C buffer</w:t>
      </w:r>
      <w:r w:rsidRPr="00CC6653">
        <w:t>.</w:t>
      </w:r>
    </w:p>
    <w:p w14:paraId="5ACE6466" w14:textId="26445F65" w:rsidR="00A449A0" w:rsidRDefault="00C33355" w:rsidP="00A449A0">
      <w:pPr>
        <w:pStyle w:val="SMText"/>
        <w:spacing w:line="480" w:lineRule="auto"/>
        <w:ind w:firstLine="0"/>
        <w:rPr>
          <w:szCs w:val="24"/>
        </w:rPr>
      </w:pPr>
      <w:r w:rsidRPr="00EF1933">
        <w:rPr>
          <w:szCs w:val="24"/>
        </w:rPr>
        <w:t>Quenching solution:</w:t>
      </w:r>
      <w:r>
        <w:rPr>
          <w:b/>
          <w:bCs/>
          <w:szCs w:val="24"/>
        </w:rPr>
        <w:t xml:space="preserve"> </w:t>
      </w:r>
      <w:r w:rsidRPr="00CC6653">
        <w:rPr>
          <w:szCs w:val="24"/>
        </w:rPr>
        <w:t>2</w:t>
      </w:r>
      <w:r w:rsidR="00E0666C">
        <w:rPr>
          <w:szCs w:val="24"/>
        </w:rPr>
        <w:t xml:space="preserve"> </w:t>
      </w:r>
      <w:r w:rsidRPr="00CC6653">
        <w:rPr>
          <w:szCs w:val="24"/>
        </w:rPr>
        <w:t>M sulfuric acid</w:t>
      </w:r>
    </w:p>
    <w:p w14:paraId="7F5716BB" w14:textId="77777777" w:rsidR="00EF1933" w:rsidRDefault="00EF1933" w:rsidP="00A449A0">
      <w:pPr>
        <w:pStyle w:val="SMText"/>
        <w:spacing w:line="480" w:lineRule="auto"/>
        <w:ind w:firstLine="0"/>
        <w:rPr>
          <w:b/>
          <w:bCs/>
          <w:szCs w:val="24"/>
        </w:rPr>
      </w:pPr>
    </w:p>
    <w:p w14:paraId="03EEFE0E" w14:textId="7E1029A4" w:rsidR="00A449A0" w:rsidRDefault="00A449A0" w:rsidP="00A449A0">
      <w:pPr>
        <w:pStyle w:val="SMText"/>
        <w:spacing w:line="480" w:lineRule="auto"/>
        <w:ind w:firstLine="0"/>
      </w:pPr>
      <w:r w:rsidRPr="00A449A0">
        <w:rPr>
          <w:szCs w:val="24"/>
        </w:rPr>
        <w:t>1.-</w:t>
      </w:r>
      <w:r>
        <w:rPr>
          <w:szCs w:val="24"/>
        </w:rPr>
        <w:t xml:space="preserve"> Coat the corresponding wells of a </w:t>
      </w:r>
      <w:r w:rsidRPr="00CC6653">
        <w:t>96-well plate (Nunc-</w:t>
      </w:r>
      <w:proofErr w:type="spellStart"/>
      <w:r w:rsidRPr="00CC6653">
        <w:t>Immuno</w:t>
      </w:r>
      <w:proofErr w:type="spellEnd"/>
      <w:r w:rsidRPr="00CC6653">
        <w:t xml:space="preserve"> </w:t>
      </w:r>
      <w:proofErr w:type="spellStart"/>
      <w:r w:rsidRPr="00CC6653">
        <w:t>MicroWell</w:t>
      </w:r>
      <w:proofErr w:type="spellEnd"/>
      <w:r w:rsidRPr="00CC6653">
        <w:t xml:space="preserve"> 96 well solid plate, MERCK)</w:t>
      </w:r>
      <w:r>
        <w:t xml:space="preserve"> with </w:t>
      </w:r>
      <w:r w:rsidRPr="00CC6653">
        <w:t xml:space="preserve">100 </w:t>
      </w:r>
      <w:r w:rsidRPr="00CC6653">
        <w:rPr>
          <w:szCs w:val="24"/>
        </w:rPr>
        <w:t xml:space="preserve">µl </w:t>
      </w:r>
      <w:r w:rsidRPr="00CC6653">
        <w:t>of TBS-C</w:t>
      </w:r>
      <w:r>
        <w:t xml:space="preserve"> </w:t>
      </w:r>
      <w:r w:rsidRPr="00CC6653">
        <w:t xml:space="preserve">containing 10 </w:t>
      </w:r>
      <w:r w:rsidRPr="00CC6653">
        <w:rPr>
          <w:szCs w:val="24"/>
        </w:rPr>
        <w:t>µ</w:t>
      </w:r>
      <w:r w:rsidRPr="00CC6653">
        <w:t>g</w:t>
      </w:r>
      <w:r>
        <w:t xml:space="preserve"> </w:t>
      </w:r>
      <w:r w:rsidRPr="00CC6653">
        <w:t>m</w:t>
      </w:r>
      <w:r>
        <w:t>L</w:t>
      </w:r>
      <w:r w:rsidRPr="00A449A0">
        <w:rPr>
          <w:vertAlign w:val="superscript"/>
        </w:rPr>
        <w:t>-1</w:t>
      </w:r>
      <w:r w:rsidRPr="00CC6653">
        <w:t xml:space="preserve"> VLDLR ectodomain overnight at </w:t>
      </w:r>
      <w:r w:rsidR="0033663A" w:rsidRPr="00CC6653">
        <w:t>4</w:t>
      </w:r>
      <w:r w:rsidR="0033663A">
        <w:t> </w:t>
      </w:r>
      <w:r w:rsidRPr="00CC6653">
        <w:t>°C.</w:t>
      </w:r>
      <w:r>
        <w:t xml:space="preserve"> </w:t>
      </w:r>
      <w:r w:rsidR="0033663A">
        <w:t xml:space="preserve">The same </w:t>
      </w:r>
      <w:r w:rsidR="009E3F30">
        <w:t xml:space="preserve">number of wells should be incubated </w:t>
      </w:r>
      <w:r w:rsidR="0033663A">
        <w:t xml:space="preserve">with TBS-C </w:t>
      </w:r>
      <w:r w:rsidR="009E3F30">
        <w:t>without VLDLR</w:t>
      </w:r>
      <w:r w:rsidR="00E133E8">
        <w:t>. These wells</w:t>
      </w:r>
      <w:r>
        <w:t xml:space="preserve"> will be used </w:t>
      </w:r>
      <w:r w:rsidR="00E133E8">
        <w:t xml:space="preserve">as ligand </w:t>
      </w:r>
      <w:r>
        <w:t>background binding</w:t>
      </w:r>
      <w:r w:rsidR="009E3F30">
        <w:t xml:space="preserve"> (addition of ligand </w:t>
      </w:r>
      <w:r w:rsidR="00E133E8">
        <w:t xml:space="preserve">to wells </w:t>
      </w:r>
      <w:r w:rsidR="009E3F30">
        <w:t>without immobilized receptor)</w:t>
      </w:r>
      <w:r>
        <w:t>.</w:t>
      </w:r>
    </w:p>
    <w:p w14:paraId="71556079" w14:textId="477BAE0F" w:rsidR="00A449A0" w:rsidRDefault="00A449A0" w:rsidP="00A449A0">
      <w:pPr>
        <w:pStyle w:val="SMText"/>
        <w:spacing w:line="480" w:lineRule="auto"/>
        <w:ind w:firstLine="0"/>
      </w:pPr>
      <w:r>
        <w:t xml:space="preserve">2.- </w:t>
      </w:r>
      <w:r>
        <w:rPr>
          <w:szCs w:val="24"/>
        </w:rPr>
        <w:t xml:space="preserve">Wash the plate </w:t>
      </w:r>
      <w:r w:rsidRPr="00CC6653">
        <w:t>once with TBS-C</w:t>
      </w:r>
      <w:r>
        <w:t xml:space="preserve">. </w:t>
      </w:r>
    </w:p>
    <w:p w14:paraId="6ED14638" w14:textId="04237BA9" w:rsidR="00A449A0" w:rsidRDefault="00A449A0" w:rsidP="00A449A0">
      <w:pPr>
        <w:pStyle w:val="SMText"/>
        <w:spacing w:line="480" w:lineRule="auto"/>
        <w:ind w:firstLine="0"/>
      </w:pPr>
      <w:r w:rsidRPr="00A449A0">
        <w:rPr>
          <w:b/>
          <w:bCs/>
        </w:rPr>
        <w:t>NOTE:</w:t>
      </w:r>
      <w:r>
        <w:t xml:space="preserve"> The</w:t>
      </w:r>
      <w:r w:rsidR="009E3F30">
        <w:t xml:space="preserve"> washing step should be quick</w:t>
      </w:r>
      <w:r>
        <w:t xml:space="preserve"> </w:t>
      </w:r>
      <w:r w:rsidR="009E3F30">
        <w:t xml:space="preserve">to avoid </w:t>
      </w:r>
      <w:r w:rsidR="00E133E8">
        <w:t xml:space="preserve">dilution and </w:t>
      </w:r>
      <w:r w:rsidR="009E3F30">
        <w:t>detachment of the receptor.</w:t>
      </w:r>
    </w:p>
    <w:p w14:paraId="1509A80B" w14:textId="08CCA2AF" w:rsidR="005E7004" w:rsidRDefault="00A449A0" w:rsidP="00A449A0">
      <w:pPr>
        <w:pStyle w:val="SMText"/>
        <w:spacing w:line="480" w:lineRule="auto"/>
        <w:ind w:firstLine="0"/>
      </w:pPr>
      <w:r>
        <w:lastRenderedPageBreak/>
        <w:t xml:space="preserve">3.- Add </w:t>
      </w:r>
      <w:r w:rsidR="00D609CE">
        <w:t>B</w:t>
      </w:r>
      <w:r w:rsidRPr="00CC6653">
        <w:t xml:space="preserve">locking </w:t>
      </w:r>
      <w:r w:rsidR="0033663A">
        <w:t>solution</w:t>
      </w:r>
      <w:r w:rsidR="0033663A" w:rsidRPr="00CC6653" w:rsidDel="0033663A">
        <w:t xml:space="preserve"> </w:t>
      </w:r>
      <w:r w:rsidR="005E7004">
        <w:t xml:space="preserve">and </w:t>
      </w:r>
      <w:r w:rsidR="005E7004" w:rsidRPr="00CC6653">
        <w:t>incubate</w:t>
      </w:r>
      <w:r w:rsidR="005E7004">
        <w:t xml:space="preserve"> the plate</w:t>
      </w:r>
      <w:r w:rsidR="005E7004" w:rsidRPr="00CC6653">
        <w:t xml:space="preserve"> for 2 hours at room temperature</w:t>
      </w:r>
      <w:r w:rsidR="005E7004">
        <w:t xml:space="preserve"> (25</w:t>
      </w:r>
      <w:r w:rsidR="005E7004" w:rsidRPr="005E7004">
        <w:rPr>
          <w:szCs w:val="24"/>
        </w:rPr>
        <w:t xml:space="preserve"> </w:t>
      </w:r>
      <w:r w:rsidR="005E7004" w:rsidRPr="00CC6653">
        <w:rPr>
          <w:szCs w:val="24"/>
        </w:rPr>
        <w:t>ºC</w:t>
      </w:r>
      <w:r w:rsidR="005E7004">
        <w:rPr>
          <w:szCs w:val="24"/>
        </w:rPr>
        <w:t>).</w:t>
      </w:r>
      <w:r w:rsidR="00E133E8">
        <w:rPr>
          <w:szCs w:val="24"/>
        </w:rPr>
        <w:t xml:space="preserve"> The wells without receptor are now coated with BSA.</w:t>
      </w:r>
    </w:p>
    <w:p w14:paraId="111150B2" w14:textId="72AAB349" w:rsidR="00B22FAC" w:rsidRDefault="005E7004" w:rsidP="005E7004">
      <w:pPr>
        <w:pStyle w:val="SMText"/>
        <w:spacing w:line="480" w:lineRule="auto"/>
        <w:ind w:firstLine="0"/>
      </w:pPr>
      <w:r>
        <w:t>4.-</w:t>
      </w:r>
      <w:r w:rsidR="00A449A0" w:rsidRPr="00CC6653">
        <w:t xml:space="preserve"> </w:t>
      </w:r>
      <w:r>
        <w:t xml:space="preserve">Remove </w:t>
      </w:r>
      <w:r w:rsidR="00D609CE">
        <w:t>B</w:t>
      </w:r>
      <w:r>
        <w:t xml:space="preserve">locking </w:t>
      </w:r>
      <w:r w:rsidR="0033663A">
        <w:t>solution</w:t>
      </w:r>
      <w:r w:rsidR="0033663A" w:rsidDel="0033663A">
        <w:t xml:space="preserve"> </w:t>
      </w:r>
      <w:r>
        <w:t xml:space="preserve">and </w:t>
      </w:r>
      <w:r w:rsidR="0033663A">
        <w:t xml:space="preserve">apply a series </w:t>
      </w:r>
      <w:r w:rsidR="00D609CE">
        <w:rPr>
          <w:szCs w:val="24"/>
        </w:rPr>
        <w:t>of</w:t>
      </w:r>
      <w:r>
        <w:t xml:space="preserve"> increasing concentrations of ligand diluted in Blocking </w:t>
      </w:r>
      <w:r w:rsidR="0033663A">
        <w:t xml:space="preserve">solution, each in a final volume of 100 </w:t>
      </w:r>
      <w:r w:rsidR="0033663A" w:rsidRPr="00CC6653">
        <w:rPr>
          <w:szCs w:val="24"/>
        </w:rPr>
        <w:t>µ</w:t>
      </w:r>
      <w:r w:rsidR="0033663A">
        <w:rPr>
          <w:szCs w:val="24"/>
        </w:rPr>
        <w:t>L</w:t>
      </w:r>
      <w:r w:rsidR="00B22FAC">
        <w:t xml:space="preserve">. Each ligand concentration should be added to </w:t>
      </w:r>
      <w:r w:rsidR="00D609CE">
        <w:t xml:space="preserve">one well with immobilized VLDLR and one well </w:t>
      </w:r>
      <w:r w:rsidR="00C049C5">
        <w:t>coated with BSA (</w:t>
      </w:r>
      <w:r w:rsidR="0033663A">
        <w:t>Blocking solution</w:t>
      </w:r>
      <w:r w:rsidR="00C049C5">
        <w:t xml:space="preserve">) </w:t>
      </w:r>
      <w:r w:rsidR="00B22FAC">
        <w:t xml:space="preserve">for </w:t>
      </w:r>
      <w:r w:rsidR="00E133E8">
        <w:t xml:space="preserve">ligand </w:t>
      </w:r>
      <w:r w:rsidR="00D609CE">
        <w:t xml:space="preserve">background </w:t>
      </w:r>
      <w:r w:rsidR="00C049C5">
        <w:t>binding</w:t>
      </w:r>
      <w:r w:rsidR="00D609CE">
        <w:t xml:space="preserve">. </w:t>
      </w:r>
      <w:r w:rsidR="00B22FAC">
        <w:t xml:space="preserve">One well with VLDLR and one </w:t>
      </w:r>
      <w:r w:rsidR="00E133E8">
        <w:t xml:space="preserve">well coated with BSA </w:t>
      </w:r>
      <w:r w:rsidR="00B22FAC">
        <w:t>should be incubated with</w:t>
      </w:r>
      <w:r w:rsidR="00C049C5">
        <w:t xml:space="preserve">out </w:t>
      </w:r>
      <w:r w:rsidR="00B22FAC" w:rsidRPr="00CC6653">
        <w:rPr>
          <w:color w:val="262626"/>
          <w:shd w:val="clear" w:color="auto" w:fill="FFFFFF"/>
        </w:rPr>
        <w:t>ligand</w:t>
      </w:r>
      <w:r w:rsidR="00B22FAC">
        <w:rPr>
          <w:color w:val="262626"/>
          <w:shd w:val="clear" w:color="auto" w:fill="FFFFFF"/>
        </w:rPr>
        <w:t xml:space="preserve"> </w:t>
      </w:r>
      <w:r w:rsidR="0033663A">
        <w:rPr>
          <w:color w:val="262626"/>
          <w:shd w:val="clear" w:color="auto" w:fill="FFFFFF"/>
        </w:rPr>
        <w:t xml:space="preserve">to determine the </w:t>
      </w:r>
      <w:r w:rsidR="00C049C5">
        <w:rPr>
          <w:color w:val="262626"/>
          <w:shd w:val="clear" w:color="auto" w:fill="FFFFFF"/>
        </w:rPr>
        <w:t xml:space="preserve">general plate </w:t>
      </w:r>
      <w:r w:rsidR="00B22FAC">
        <w:rPr>
          <w:color w:val="262626"/>
          <w:shd w:val="clear" w:color="auto" w:fill="FFFFFF"/>
        </w:rPr>
        <w:t>background signa</w:t>
      </w:r>
      <w:r w:rsidR="00E133E8">
        <w:rPr>
          <w:color w:val="262626"/>
          <w:shd w:val="clear" w:color="auto" w:fill="FFFFFF"/>
        </w:rPr>
        <w:t>l</w:t>
      </w:r>
      <w:r w:rsidR="00B22FAC">
        <w:rPr>
          <w:color w:val="262626"/>
          <w:shd w:val="clear" w:color="auto" w:fill="FFFFFF"/>
        </w:rPr>
        <w:t>.</w:t>
      </w:r>
      <w:r w:rsidR="00B22FAC" w:rsidRPr="00CC6653">
        <w:rPr>
          <w:color w:val="262626"/>
          <w:shd w:val="clear" w:color="auto" w:fill="FFFFFF"/>
        </w:rPr>
        <w:t xml:space="preserve"> </w:t>
      </w:r>
    </w:p>
    <w:p w14:paraId="7D2124A7" w14:textId="19ACFA46" w:rsidR="00EF1933" w:rsidRPr="009E3F30" w:rsidRDefault="005E7004" w:rsidP="00A449A0">
      <w:pPr>
        <w:pStyle w:val="SMText"/>
        <w:spacing w:line="480" w:lineRule="auto"/>
        <w:ind w:firstLine="0"/>
      </w:pPr>
      <w:r w:rsidRPr="005E7004">
        <w:rPr>
          <w:b/>
          <w:bCs/>
        </w:rPr>
        <w:t>NOTE:</w:t>
      </w:r>
      <w:r>
        <w:t xml:space="preserve"> For </w:t>
      </w:r>
      <w:proofErr w:type="spellStart"/>
      <w:r>
        <w:t>Clusterin</w:t>
      </w:r>
      <w:proofErr w:type="spellEnd"/>
      <w:r w:rsidR="00EF1933">
        <w:t>,</w:t>
      </w:r>
      <w:r>
        <w:t xml:space="preserve"> a concentration range from </w:t>
      </w:r>
      <w:r w:rsidR="00EF1933">
        <w:t xml:space="preserve">50 </w:t>
      </w:r>
      <w:proofErr w:type="spellStart"/>
      <w:r>
        <w:t>nM</w:t>
      </w:r>
      <w:proofErr w:type="spellEnd"/>
      <w:r>
        <w:t xml:space="preserve"> to </w:t>
      </w:r>
      <w:r w:rsidR="00EF1933">
        <w:t xml:space="preserve">10000 </w:t>
      </w:r>
      <w:proofErr w:type="spellStart"/>
      <w:r>
        <w:t>nM</w:t>
      </w:r>
      <w:proofErr w:type="spellEnd"/>
      <w:r>
        <w:t xml:space="preserve"> is recommended</w:t>
      </w:r>
      <w:r w:rsidR="00EF1933">
        <w:t xml:space="preserve"> </w:t>
      </w:r>
      <w:r w:rsidR="00EF1933" w:rsidRPr="009E3F30">
        <w:t xml:space="preserve">(approximate </w:t>
      </w:r>
      <w:r w:rsidR="0033663A" w:rsidRPr="00D646F7">
        <w:rPr>
          <w:i/>
          <w:iCs/>
        </w:rPr>
        <w:t>K</w:t>
      </w:r>
      <w:r w:rsidR="0033663A" w:rsidRPr="00D646F7">
        <w:rPr>
          <w:vertAlign w:val="subscript"/>
        </w:rPr>
        <w:t>D</w:t>
      </w:r>
      <w:r w:rsidR="0033663A" w:rsidRPr="009E3F30">
        <w:t xml:space="preserve"> </w:t>
      </w:r>
      <w:r w:rsidR="00EF1933" w:rsidRPr="009E3F30">
        <w:t xml:space="preserve">= 80-140 </w:t>
      </w:r>
      <w:proofErr w:type="spellStart"/>
      <w:r w:rsidR="00EF1933" w:rsidRPr="009E3F30">
        <w:t>nM</w:t>
      </w:r>
      <w:proofErr w:type="spellEnd"/>
      <w:r w:rsidR="00EF1933" w:rsidRPr="009E3F30">
        <w:t>)</w:t>
      </w:r>
      <w:r w:rsidRPr="009E3F30">
        <w:t xml:space="preserve">. </w:t>
      </w:r>
    </w:p>
    <w:p w14:paraId="7E1F7778" w14:textId="1C0A018F" w:rsidR="005E7004" w:rsidRDefault="00EF1933" w:rsidP="00A449A0">
      <w:pPr>
        <w:pStyle w:val="SMText"/>
        <w:spacing w:line="480" w:lineRule="auto"/>
        <w:ind w:firstLine="0"/>
      </w:pPr>
      <w:r w:rsidRPr="009E3F30">
        <w:rPr>
          <w:b/>
          <w:bCs/>
        </w:rPr>
        <w:t>NOTE:</w:t>
      </w:r>
      <w:r w:rsidRPr="009E3F30">
        <w:t xml:space="preserve"> </w:t>
      </w:r>
      <w:r w:rsidR="009E3F30" w:rsidRPr="009E3F30">
        <w:t>Low Density Lipoprotein-Related Protein-Associated Protein 1 (LRPAP1 or</w:t>
      </w:r>
      <w:r w:rsidRPr="009E3F30">
        <w:t xml:space="preserve"> RAP</w:t>
      </w:r>
      <w:r w:rsidR="009E3F30" w:rsidRPr="009E3F30">
        <w:t>)</w:t>
      </w:r>
      <w:r w:rsidRPr="009E3F30">
        <w:t xml:space="preserve"> </w:t>
      </w:r>
      <w:r w:rsidR="009E3F30" w:rsidRPr="009E3F30">
        <w:t xml:space="preserve">is a molecular chaperone for LDL receptor-related proteins </w:t>
      </w:r>
      <w:r w:rsidR="00E133E8">
        <w:t xml:space="preserve">and therefore it </w:t>
      </w:r>
      <w:r w:rsidRPr="009E3F30">
        <w:t xml:space="preserve">can be use as positive control and as a competitor binder. </w:t>
      </w:r>
      <w:r w:rsidR="005E7004" w:rsidRPr="009E3F30">
        <w:t>For</w:t>
      </w:r>
      <w:r w:rsidRPr="009E3F30">
        <w:t xml:space="preserve"> RAP</w:t>
      </w:r>
      <w:r w:rsidR="009E3F30" w:rsidRPr="009E3F30">
        <w:t xml:space="preserve"> binding</w:t>
      </w:r>
      <w:r w:rsidRPr="009E3F30">
        <w:t xml:space="preserve">, </w:t>
      </w:r>
      <w:r w:rsidR="005E7004" w:rsidRPr="009E3F30">
        <w:t xml:space="preserve">a concentration range from </w:t>
      </w:r>
      <w:r w:rsidRPr="009E3F30">
        <w:t xml:space="preserve">1 </w:t>
      </w:r>
      <w:proofErr w:type="spellStart"/>
      <w:r w:rsidR="005E7004" w:rsidRPr="009E3F30">
        <w:t>nM</w:t>
      </w:r>
      <w:proofErr w:type="spellEnd"/>
      <w:r w:rsidR="005E7004" w:rsidRPr="009E3F30">
        <w:t xml:space="preserve"> to </w:t>
      </w:r>
      <w:r w:rsidRPr="009E3F30">
        <w:t>60</w:t>
      </w:r>
      <w:r w:rsidR="005E7004" w:rsidRPr="009E3F30">
        <w:t xml:space="preserve"> </w:t>
      </w:r>
      <w:proofErr w:type="spellStart"/>
      <w:r w:rsidR="005E7004" w:rsidRPr="009E3F30">
        <w:t>nM</w:t>
      </w:r>
      <w:proofErr w:type="spellEnd"/>
      <w:r w:rsidR="005E7004" w:rsidRPr="009E3F30">
        <w:t xml:space="preserve"> is recommended</w:t>
      </w:r>
      <w:r w:rsidR="005E7004" w:rsidRPr="009E3F30">
        <w:rPr>
          <w:b/>
          <w:bCs/>
        </w:rPr>
        <w:t xml:space="preserve"> </w:t>
      </w:r>
      <w:r w:rsidRPr="009E3F30">
        <w:t xml:space="preserve">(approximate </w:t>
      </w:r>
      <w:r w:rsidR="0033663A" w:rsidRPr="00C740F1">
        <w:rPr>
          <w:i/>
          <w:iCs/>
        </w:rPr>
        <w:t>K</w:t>
      </w:r>
      <w:r w:rsidR="0033663A" w:rsidRPr="00C740F1">
        <w:rPr>
          <w:vertAlign w:val="subscript"/>
        </w:rPr>
        <w:t>D</w:t>
      </w:r>
      <w:r w:rsidRPr="009E3F30">
        <w:t xml:space="preserve"> = 1-2 </w:t>
      </w:r>
      <w:proofErr w:type="spellStart"/>
      <w:r w:rsidRPr="009E3F30">
        <w:t>nM</w:t>
      </w:r>
      <w:proofErr w:type="spellEnd"/>
      <w:r w:rsidRPr="009E3F30">
        <w:t>).</w:t>
      </w:r>
      <w:r w:rsidR="00293C8E">
        <w:t xml:space="preserve"> </w:t>
      </w:r>
      <w:r w:rsidR="00A449A0" w:rsidRPr="00CC6653">
        <w:t>For competition assay</w:t>
      </w:r>
      <w:r w:rsidR="005E7004">
        <w:t>s</w:t>
      </w:r>
      <w:r w:rsidR="00A449A0" w:rsidRPr="00CC6653">
        <w:t xml:space="preserve">, </w:t>
      </w:r>
      <w:r w:rsidR="005E7004">
        <w:t xml:space="preserve">mix a fixed concentration of the </w:t>
      </w:r>
      <w:r w:rsidR="00293C8E">
        <w:t>ligand</w:t>
      </w:r>
      <w:r w:rsidR="005E7004">
        <w:t xml:space="preserve"> with increasing concentrations of the competitor</w:t>
      </w:r>
      <w:r w:rsidR="00E133E8">
        <w:t xml:space="preserve"> (RAP)</w:t>
      </w:r>
      <w:r w:rsidR="005E7004">
        <w:t>.</w:t>
      </w:r>
    </w:p>
    <w:p w14:paraId="3430C742" w14:textId="449DBAAC" w:rsidR="00C049C5" w:rsidRDefault="00C049C5" w:rsidP="00A449A0">
      <w:pPr>
        <w:pStyle w:val="SMText"/>
        <w:spacing w:line="480" w:lineRule="auto"/>
        <w:ind w:firstLine="0"/>
      </w:pPr>
      <w:r>
        <w:t xml:space="preserve">5.- Incubate 1 hour at </w:t>
      </w:r>
      <w:r w:rsidRPr="00CC6653">
        <w:t>room temperature</w:t>
      </w:r>
      <w:r>
        <w:t xml:space="preserve"> (25</w:t>
      </w:r>
      <w:r w:rsidRPr="005E7004">
        <w:rPr>
          <w:szCs w:val="24"/>
        </w:rPr>
        <w:t xml:space="preserve"> </w:t>
      </w:r>
      <w:r w:rsidRPr="00CC6653">
        <w:rPr>
          <w:szCs w:val="24"/>
        </w:rPr>
        <w:t>ºC</w:t>
      </w:r>
      <w:r>
        <w:rPr>
          <w:szCs w:val="24"/>
        </w:rPr>
        <w:t xml:space="preserve">). </w:t>
      </w:r>
    </w:p>
    <w:p w14:paraId="2389C389" w14:textId="48C27C6F" w:rsidR="005E7004" w:rsidRDefault="00C049C5" w:rsidP="00A449A0">
      <w:pPr>
        <w:pStyle w:val="SMText"/>
        <w:spacing w:line="480" w:lineRule="auto"/>
        <w:ind w:firstLine="0"/>
      </w:pPr>
      <w:r>
        <w:t>6</w:t>
      </w:r>
      <w:r w:rsidR="005E7004">
        <w:t>.- Wash t</w:t>
      </w:r>
      <w:r w:rsidR="00A449A0" w:rsidRPr="00CC6653">
        <w:t xml:space="preserve">he plate three times with </w:t>
      </w:r>
      <w:r>
        <w:t>B</w:t>
      </w:r>
      <w:r w:rsidR="00A449A0" w:rsidRPr="00CC6653">
        <w:t xml:space="preserve">locking solution. </w:t>
      </w:r>
    </w:p>
    <w:p w14:paraId="5F8D01ED" w14:textId="255CE177" w:rsidR="005E7004" w:rsidRDefault="005E7004" w:rsidP="00A449A0">
      <w:pPr>
        <w:pStyle w:val="SMText"/>
        <w:spacing w:line="480" w:lineRule="auto"/>
        <w:ind w:firstLine="0"/>
      </w:pPr>
      <w:r w:rsidRPr="005E7004">
        <w:rPr>
          <w:b/>
          <w:bCs/>
        </w:rPr>
        <w:t>NOTE:</w:t>
      </w:r>
      <w:r>
        <w:t xml:space="preserve"> If</w:t>
      </w:r>
      <w:r w:rsidR="00A449A0" w:rsidRPr="00CC6653">
        <w:t xml:space="preserve"> testing the effect of pH on ligand binding</w:t>
      </w:r>
      <w:r w:rsidR="00A449A0">
        <w:t>,</w:t>
      </w:r>
      <w:r w:rsidR="00A449A0" w:rsidRPr="00CC6653">
        <w:t xml:space="preserve"> wash </w:t>
      </w:r>
      <w:r w:rsidR="00E133E8">
        <w:t>the wells on</w:t>
      </w:r>
      <w:r w:rsidR="0033663A">
        <w:t>c</w:t>
      </w:r>
      <w:r w:rsidR="00E133E8">
        <w:t xml:space="preserve">e </w:t>
      </w:r>
      <w:r w:rsidR="00A449A0" w:rsidRPr="00CC6653">
        <w:t xml:space="preserve">with TBS-C </w:t>
      </w:r>
      <w:r w:rsidR="0033663A">
        <w:t>B</w:t>
      </w:r>
      <w:r w:rsidR="0033663A" w:rsidRPr="00CC6653">
        <w:t xml:space="preserve">locking </w:t>
      </w:r>
      <w:r w:rsidR="00A449A0" w:rsidRPr="00CC6653">
        <w:t>solution (pH</w:t>
      </w:r>
      <w:r w:rsidR="008B3DBB">
        <w:t xml:space="preserve"> </w:t>
      </w:r>
      <w:r w:rsidR="00A449A0" w:rsidRPr="00CC6653">
        <w:t xml:space="preserve">7.4) or </w:t>
      </w:r>
      <w:r>
        <w:t xml:space="preserve">a low pH buffer like </w:t>
      </w:r>
      <w:r w:rsidR="00A449A0" w:rsidRPr="00CC6653">
        <w:t xml:space="preserve">SA-C </w:t>
      </w:r>
      <w:r w:rsidR="008B3DBB">
        <w:t>B</w:t>
      </w:r>
      <w:r w:rsidR="008B3DBB" w:rsidRPr="00CC6653">
        <w:t xml:space="preserve">locking </w:t>
      </w:r>
      <w:r w:rsidR="00A449A0" w:rsidRPr="00CC6653">
        <w:t xml:space="preserve">solution (10 mM </w:t>
      </w:r>
      <w:r w:rsidR="00A449A0">
        <w:t>Na-</w:t>
      </w:r>
      <w:r w:rsidR="00A449A0" w:rsidRPr="00CC6653">
        <w:t>acetate pH 5.2, 150 mM NaCl, 3 mM CaCl</w:t>
      </w:r>
      <w:r w:rsidR="00A449A0" w:rsidRPr="00D646F7">
        <w:rPr>
          <w:vertAlign w:val="subscript"/>
        </w:rPr>
        <w:t>2</w:t>
      </w:r>
      <w:r w:rsidR="00A449A0" w:rsidRPr="00CC6653">
        <w:t>, 2% BSA, 0.05% Tween)</w:t>
      </w:r>
      <w:r>
        <w:t xml:space="preserve"> and</w:t>
      </w:r>
      <w:r w:rsidR="00A449A0" w:rsidRPr="00CC6653">
        <w:t xml:space="preserve"> incubat</w:t>
      </w:r>
      <w:r>
        <w:t>e</w:t>
      </w:r>
      <w:r w:rsidR="00A449A0" w:rsidRPr="00CC6653">
        <w:t xml:space="preserve"> with th</w:t>
      </w:r>
      <w:r>
        <w:t xml:space="preserve">e </w:t>
      </w:r>
      <w:r w:rsidR="00A449A0" w:rsidRPr="00CC6653">
        <w:t xml:space="preserve">corresponding buffers for 1 hour at room temperature </w:t>
      </w:r>
      <w:r>
        <w:t>(25</w:t>
      </w:r>
      <w:r w:rsidRPr="005E7004">
        <w:rPr>
          <w:szCs w:val="24"/>
        </w:rPr>
        <w:t xml:space="preserve"> </w:t>
      </w:r>
      <w:r w:rsidRPr="00CC6653">
        <w:rPr>
          <w:szCs w:val="24"/>
        </w:rPr>
        <w:t>ºC</w:t>
      </w:r>
      <w:r>
        <w:rPr>
          <w:szCs w:val="24"/>
        </w:rPr>
        <w:t>). After the incubation time,</w:t>
      </w:r>
      <w:r w:rsidR="00A449A0" w:rsidRPr="00CC6653">
        <w:t xml:space="preserve"> wash </w:t>
      </w:r>
      <w:r>
        <w:t xml:space="preserve">the plate </w:t>
      </w:r>
      <w:r w:rsidR="00A449A0" w:rsidRPr="00CC6653">
        <w:t>on</w:t>
      </w:r>
      <w:r w:rsidR="008B3DBB">
        <w:t>c</w:t>
      </w:r>
      <w:r w:rsidR="00A449A0" w:rsidRPr="00CC6653">
        <w:t xml:space="preserve">e </w:t>
      </w:r>
      <w:r w:rsidR="00293C8E">
        <w:t>with the same buffers</w:t>
      </w:r>
      <w:r w:rsidR="00A449A0" w:rsidRPr="00CC6653">
        <w:t>.</w:t>
      </w:r>
    </w:p>
    <w:p w14:paraId="3243A3FC" w14:textId="0F0BE976" w:rsidR="005E7004" w:rsidRDefault="00C049C5" w:rsidP="00A449A0">
      <w:pPr>
        <w:pStyle w:val="SMText"/>
        <w:spacing w:line="480" w:lineRule="auto"/>
        <w:ind w:firstLine="0"/>
      </w:pPr>
      <w:r>
        <w:t>7</w:t>
      </w:r>
      <w:r w:rsidR="005E7004">
        <w:t xml:space="preserve">.- Add the corresponding primary antibodies diluted 1/100 in Blocking solution and incubate 1 hour at </w:t>
      </w:r>
      <w:r w:rsidR="005E7004" w:rsidRPr="00CC6653">
        <w:t xml:space="preserve">room temperature </w:t>
      </w:r>
      <w:r w:rsidR="005E7004">
        <w:t>(25</w:t>
      </w:r>
      <w:r w:rsidR="005E7004" w:rsidRPr="005E7004">
        <w:rPr>
          <w:szCs w:val="24"/>
        </w:rPr>
        <w:t xml:space="preserve"> </w:t>
      </w:r>
      <w:r w:rsidR="005E7004" w:rsidRPr="00CC6653">
        <w:rPr>
          <w:szCs w:val="24"/>
        </w:rPr>
        <w:t>ºC</w:t>
      </w:r>
      <w:r w:rsidR="005E7004">
        <w:rPr>
          <w:szCs w:val="24"/>
        </w:rPr>
        <w:t>).</w:t>
      </w:r>
    </w:p>
    <w:p w14:paraId="15C0A756" w14:textId="10EBF885" w:rsidR="005E7004" w:rsidRDefault="005E7004" w:rsidP="00A449A0">
      <w:pPr>
        <w:pStyle w:val="SMText"/>
        <w:spacing w:line="480" w:lineRule="auto"/>
        <w:ind w:firstLine="0"/>
      </w:pPr>
      <w:r w:rsidRPr="00E133E8">
        <w:rPr>
          <w:b/>
          <w:bCs/>
        </w:rPr>
        <w:lastRenderedPageBreak/>
        <w:t>NOTE:</w:t>
      </w:r>
      <w:r>
        <w:t xml:space="preserve"> a</w:t>
      </w:r>
      <w:r w:rsidR="00A449A0" w:rsidRPr="00CC6653">
        <w:t>nti-</w:t>
      </w:r>
      <w:proofErr w:type="spellStart"/>
      <w:r w:rsidR="00A449A0" w:rsidRPr="00CC6653">
        <w:t>Clusterin</w:t>
      </w:r>
      <w:proofErr w:type="spellEnd"/>
      <w:r w:rsidR="00A449A0" w:rsidRPr="00CC6653">
        <w:t xml:space="preserve"> (sc-5289 Santa Cruz Biotechnologies) </w:t>
      </w:r>
      <w:r>
        <w:t xml:space="preserve">and </w:t>
      </w:r>
      <w:proofErr w:type="spellStart"/>
      <w:r w:rsidR="00A449A0" w:rsidRPr="00CC6653">
        <w:t>anti-RAP</w:t>
      </w:r>
      <w:proofErr w:type="spellEnd"/>
      <w:r w:rsidR="00A449A0" w:rsidRPr="00CC6653">
        <w:t xml:space="preserve"> (sc-515625 Santa Cruz Biotechnologies)</w:t>
      </w:r>
      <w:r w:rsidR="00E133E8">
        <w:t xml:space="preserve"> can be used for </w:t>
      </w:r>
      <w:proofErr w:type="spellStart"/>
      <w:r w:rsidR="00E133E8">
        <w:t>Clusterin</w:t>
      </w:r>
      <w:proofErr w:type="spellEnd"/>
      <w:r w:rsidR="00E133E8">
        <w:t xml:space="preserve"> and RAP detection</w:t>
      </w:r>
      <w:r w:rsidR="0033663A">
        <w:t>, respectively</w:t>
      </w:r>
      <w:r w:rsidR="00E133E8">
        <w:t>.</w:t>
      </w:r>
    </w:p>
    <w:p w14:paraId="5F1D8213" w14:textId="77425178" w:rsidR="005E7004" w:rsidRDefault="00C049C5" w:rsidP="00A449A0">
      <w:pPr>
        <w:pStyle w:val="SMText"/>
        <w:spacing w:line="480" w:lineRule="auto"/>
        <w:ind w:firstLine="0"/>
      </w:pPr>
      <w:r>
        <w:t>8</w:t>
      </w:r>
      <w:r w:rsidR="005E7004">
        <w:t xml:space="preserve">.- Wash the plate </w:t>
      </w:r>
      <w:r w:rsidR="00A449A0" w:rsidRPr="00CC6653">
        <w:t xml:space="preserve">three times with TBS-C </w:t>
      </w:r>
      <w:r w:rsidR="0033663A">
        <w:t>B</w:t>
      </w:r>
      <w:r w:rsidR="0033663A" w:rsidRPr="00CC6653">
        <w:t xml:space="preserve">locking </w:t>
      </w:r>
      <w:r w:rsidR="00A449A0" w:rsidRPr="00CC6653">
        <w:t>solution</w:t>
      </w:r>
      <w:r w:rsidR="00D609CE">
        <w:t>.</w:t>
      </w:r>
      <w:r w:rsidR="00A449A0" w:rsidRPr="00CC6653">
        <w:t xml:space="preserve"> </w:t>
      </w:r>
    </w:p>
    <w:p w14:paraId="7A4A0118" w14:textId="7CBD97B7" w:rsidR="00D609CE" w:rsidRDefault="00C049C5" w:rsidP="00A449A0">
      <w:pPr>
        <w:pStyle w:val="SMText"/>
        <w:spacing w:line="480" w:lineRule="auto"/>
        <w:ind w:firstLine="0"/>
        <w:rPr>
          <w:szCs w:val="24"/>
        </w:rPr>
      </w:pPr>
      <w:r>
        <w:t>9</w:t>
      </w:r>
      <w:r w:rsidR="005E7004">
        <w:t>.- Add the corresponding</w:t>
      </w:r>
      <w:r w:rsidR="00D609CE">
        <w:t xml:space="preserve"> secondary antibody (</w:t>
      </w:r>
      <w:r w:rsidR="00D609CE" w:rsidRPr="00CC6653">
        <w:rPr>
          <w:szCs w:val="24"/>
        </w:rPr>
        <w:t xml:space="preserve">horseradish peroxidase (HRP) </w:t>
      </w:r>
      <w:r w:rsidR="00D609CE">
        <w:rPr>
          <w:szCs w:val="24"/>
        </w:rPr>
        <w:t xml:space="preserve">conjugated) </w:t>
      </w:r>
      <w:r w:rsidR="00D609CE">
        <w:t xml:space="preserve">diluted </w:t>
      </w:r>
      <w:r w:rsidR="00E133E8">
        <w:t>1/</w:t>
      </w:r>
      <w:r w:rsidR="00D609CE" w:rsidRPr="00CC6653">
        <w:t>10,000</w:t>
      </w:r>
      <w:r w:rsidR="00D609CE">
        <w:t xml:space="preserve"> in Blocking solution</w:t>
      </w:r>
      <w:r w:rsidR="005E7004">
        <w:t xml:space="preserve"> </w:t>
      </w:r>
      <w:r w:rsidR="00A449A0" w:rsidRPr="00CC6653">
        <w:t>and incubate 1 hour at room temperature</w:t>
      </w:r>
      <w:r w:rsidR="00D609CE" w:rsidRPr="00CC6653">
        <w:t xml:space="preserve"> </w:t>
      </w:r>
      <w:r w:rsidR="00D609CE">
        <w:t>(25</w:t>
      </w:r>
      <w:r w:rsidR="00D609CE" w:rsidRPr="005E7004">
        <w:rPr>
          <w:szCs w:val="24"/>
        </w:rPr>
        <w:t xml:space="preserve"> </w:t>
      </w:r>
      <w:r w:rsidR="00D609CE" w:rsidRPr="00CC6653">
        <w:rPr>
          <w:szCs w:val="24"/>
        </w:rPr>
        <w:t>ºC</w:t>
      </w:r>
      <w:r w:rsidR="00D609CE">
        <w:rPr>
          <w:szCs w:val="24"/>
        </w:rPr>
        <w:t>).</w:t>
      </w:r>
    </w:p>
    <w:p w14:paraId="72AF56AD" w14:textId="463C4E1F" w:rsidR="00D609CE" w:rsidRDefault="00C049C5" w:rsidP="00A449A0">
      <w:pPr>
        <w:pStyle w:val="SMText"/>
        <w:spacing w:line="480" w:lineRule="auto"/>
        <w:ind w:firstLine="0"/>
      </w:pPr>
      <w:r>
        <w:t>10</w:t>
      </w:r>
      <w:r w:rsidR="00D609CE">
        <w:t xml:space="preserve">.- Wash the plate </w:t>
      </w:r>
      <w:r w:rsidR="00D609CE" w:rsidRPr="00CC6653">
        <w:t xml:space="preserve">three times with TBS-C </w:t>
      </w:r>
      <w:r w:rsidR="0033663A">
        <w:t>B</w:t>
      </w:r>
      <w:r w:rsidR="0033663A" w:rsidRPr="00CC6653">
        <w:t xml:space="preserve">locking </w:t>
      </w:r>
      <w:r w:rsidR="00D609CE" w:rsidRPr="00CC6653">
        <w:t>solution</w:t>
      </w:r>
      <w:r w:rsidR="00D609CE">
        <w:t>.</w:t>
      </w:r>
      <w:r w:rsidR="00D609CE" w:rsidRPr="00CC6653">
        <w:t xml:space="preserve"> </w:t>
      </w:r>
    </w:p>
    <w:p w14:paraId="57658008" w14:textId="05B47B96" w:rsidR="00D609CE" w:rsidRDefault="00D609CE" w:rsidP="00A449A0">
      <w:pPr>
        <w:pStyle w:val="SMText"/>
        <w:spacing w:line="480" w:lineRule="auto"/>
        <w:ind w:firstLine="0"/>
        <w:rPr>
          <w:szCs w:val="24"/>
        </w:rPr>
      </w:pPr>
      <w:r>
        <w:t>1</w:t>
      </w:r>
      <w:r w:rsidR="00C049C5">
        <w:t>1</w:t>
      </w:r>
      <w:r>
        <w:t>.- A</w:t>
      </w:r>
      <w:r w:rsidR="00A449A0" w:rsidRPr="00CC6653">
        <w:t xml:space="preserve">dd 100 </w:t>
      </w:r>
      <w:r w:rsidR="00A449A0" w:rsidRPr="00CC6653">
        <w:rPr>
          <w:szCs w:val="24"/>
        </w:rPr>
        <w:t>µ</w:t>
      </w:r>
      <w:r>
        <w:rPr>
          <w:szCs w:val="24"/>
        </w:rPr>
        <w:t>L</w:t>
      </w:r>
      <w:r w:rsidR="00A449A0" w:rsidRPr="00CC6653">
        <w:rPr>
          <w:szCs w:val="24"/>
        </w:rPr>
        <w:t xml:space="preserve"> per well of the HRP substrate 1-Step </w:t>
      </w:r>
      <w:r>
        <w:rPr>
          <w:szCs w:val="24"/>
        </w:rPr>
        <w:t xml:space="preserve">Ultra </w:t>
      </w:r>
      <w:r w:rsidR="00A449A0" w:rsidRPr="00CC6653">
        <w:rPr>
          <w:szCs w:val="24"/>
        </w:rPr>
        <w:t>TMB ELISA Substrate Solutions (</w:t>
      </w:r>
      <w:r w:rsidR="00E133E8">
        <w:rPr>
          <w:szCs w:val="24"/>
        </w:rPr>
        <w:t>Thermo Fisher Scientific</w:t>
      </w:r>
      <w:r>
        <w:rPr>
          <w:szCs w:val="24"/>
        </w:rPr>
        <w:t xml:space="preserve">, </w:t>
      </w:r>
      <w:r w:rsidRPr="00D609CE">
        <w:rPr>
          <w:szCs w:val="24"/>
        </w:rPr>
        <w:t>34028</w:t>
      </w:r>
      <w:r w:rsidR="00A449A0" w:rsidRPr="00CC6653">
        <w:rPr>
          <w:szCs w:val="24"/>
        </w:rPr>
        <w:t xml:space="preserve">) </w:t>
      </w:r>
      <w:r>
        <w:rPr>
          <w:szCs w:val="24"/>
        </w:rPr>
        <w:t>to develop the plate</w:t>
      </w:r>
      <w:r w:rsidR="00E133E8">
        <w:rPr>
          <w:szCs w:val="24"/>
        </w:rPr>
        <w:t xml:space="preserve"> and incubate until the desired color develops.</w:t>
      </w:r>
    </w:p>
    <w:p w14:paraId="1FED9F10" w14:textId="4E7A960D" w:rsidR="00D609CE" w:rsidRDefault="00D609CE" w:rsidP="00A449A0">
      <w:pPr>
        <w:pStyle w:val="SMText"/>
        <w:spacing w:line="480" w:lineRule="auto"/>
        <w:ind w:firstLine="0"/>
        <w:rPr>
          <w:szCs w:val="24"/>
        </w:rPr>
      </w:pPr>
      <w:r w:rsidRPr="00D609CE">
        <w:rPr>
          <w:b/>
          <w:bCs/>
          <w:szCs w:val="24"/>
        </w:rPr>
        <w:t>NOTE: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3 and 10 minutes</w:t>
      </w:r>
      <w:proofErr w:type="gramEnd"/>
      <w:r>
        <w:rPr>
          <w:szCs w:val="24"/>
        </w:rPr>
        <w:t xml:space="preserve"> incubation time with </w:t>
      </w:r>
      <w:r w:rsidR="00E133E8">
        <w:rPr>
          <w:szCs w:val="24"/>
        </w:rPr>
        <w:t xml:space="preserve">the developing solution </w:t>
      </w:r>
      <w:r>
        <w:rPr>
          <w:szCs w:val="24"/>
        </w:rPr>
        <w:t>are normally enough</w:t>
      </w:r>
      <w:r w:rsidR="00572E89">
        <w:rPr>
          <w:szCs w:val="24"/>
        </w:rPr>
        <w:t xml:space="preserve"> under these conditions</w:t>
      </w:r>
      <w:r>
        <w:rPr>
          <w:szCs w:val="24"/>
        </w:rPr>
        <w:t xml:space="preserve"> to develop RAP and </w:t>
      </w:r>
      <w:proofErr w:type="spellStart"/>
      <w:r>
        <w:rPr>
          <w:szCs w:val="24"/>
        </w:rPr>
        <w:t>Clusterin</w:t>
      </w:r>
      <w:proofErr w:type="spellEnd"/>
      <w:r>
        <w:rPr>
          <w:szCs w:val="24"/>
        </w:rPr>
        <w:t xml:space="preserve"> signal, respectively. </w:t>
      </w:r>
    </w:p>
    <w:p w14:paraId="4FDB6263" w14:textId="5BF5F12A" w:rsidR="00293C8E" w:rsidRDefault="00293C8E" w:rsidP="00A449A0">
      <w:pPr>
        <w:pStyle w:val="SMText"/>
        <w:spacing w:line="480" w:lineRule="auto"/>
        <w:ind w:firstLine="0"/>
        <w:rPr>
          <w:szCs w:val="24"/>
        </w:rPr>
      </w:pPr>
      <w:r>
        <w:rPr>
          <w:szCs w:val="24"/>
        </w:rPr>
        <w:t xml:space="preserve">12.- Add </w:t>
      </w:r>
      <w:r w:rsidRPr="00CC6653">
        <w:t xml:space="preserve">100 </w:t>
      </w:r>
      <w:r w:rsidRPr="00CC6653">
        <w:rPr>
          <w:szCs w:val="24"/>
        </w:rPr>
        <w:t>µ</w:t>
      </w:r>
      <w:r>
        <w:rPr>
          <w:szCs w:val="24"/>
        </w:rPr>
        <w:t>L</w:t>
      </w:r>
      <w:r w:rsidRPr="00CC6653">
        <w:rPr>
          <w:szCs w:val="24"/>
        </w:rPr>
        <w:t xml:space="preserve"> </w:t>
      </w:r>
      <w:r>
        <w:rPr>
          <w:szCs w:val="24"/>
        </w:rPr>
        <w:t>per well of quenching solution to stop the reaction</w:t>
      </w:r>
      <w:r w:rsidRPr="00CC6653">
        <w:rPr>
          <w:szCs w:val="24"/>
        </w:rPr>
        <w:t xml:space="preserve">. </w:t>
      </w:r>
    </w:p>
    <w:p w14:paraId="0410D919" w14:textId="3EEF9788" w:rsidR="00B22FAC" w:rsidRDefault="00D609CE" w:rsidP="00A449A0">
      <w:pPr>
        <w:pStyle w:val="SMText"/>
        <w:spacing w:line="480" w:lineRule="auto"/>
        <w:ind w:firstLine="0"/>
        <w:rPr>
          <w:szCs w:val="24"/>
        </w:rPr>
      </w:pPr>
      <w:r>
        <w:rPr>
          <w:szCs w:val="24"/>
        </w:rPr>
        <w:t>1</w:t>
      </w:r>
      <w:r w:rsidR="00C049C5">
        <w:rPr>
          <w:szCs w:val="24"/>
        </w:rPr>
        <w:t>3</w:t>
      </w:r>
      <w:r>
        <w:rPr>
          <w:szCs w:val="24"/>
        </w:rPr>
        <w:t>.- Measure a</w:t>
      </w:r>
      <w:r w:rsidR="00A449A0" w:rsidRPr="00CC6653">
        <w:rPr>
          <w:szCs w:val="24"/>
        </w:rPr>
        <w:t xml:space="preserve">bsorbance at 450 nm </w:t>
      </w:r>
    </w:p>
    <w:p w14:paraId="544D05F9" w14:textId="7134D4F4" w:rsidR="00E94948" w:rsidRDefault="00B22FAC" w:rsidP="00C049C5">
      <w:pPr>
        <w:pStyle w:val="SMText"/>
        <w:spacing w:line="480" w:lineRule="auto"/>
        <w:ind w:firstLine="0"/>
        <w:rPr>
          <w:color w:val="262626"/>
          <w:shd w:val="clear" w:color="auto" w:fill="FFFFFF"/>
        </w:rPr>
      </w:pPr>
      <w:r w:rsidRPr="009E3F30">
        <w:rPr>
          <w:b/>
          <w:bCs/>
          <w:szCs w:val="24"/>
        </w:rPr>
        <w:t>NOTE:</w:t>
      </w:r>
      <w:r>
        <w:rPr>
          <w:szCs w:val="24"/>
        </w:rPr>
        <w:t xml:space="preserve"> </w:t>
      </w:r>
      <w:r w:rsidR="00C049C5">
        <w:rPr>
          <w:szCs w:val="24"/>
        </w:rPr>
        <w:t xml:space="preserve">First, subtract </w:t>
      </w:r>
      <w:r w:rsidR="00C049C5" w:rsidRPr="00CC6653">
        <w:t>the back</w:t>
      </w:r>
      <w:r w:rsidR="00C049C5" w:rsidRPr="00CC6653">
        <w:rPr>
          <w:color w:val="262626"/>
          <w:shd w:val="clear" w:color="auto" w:fill="FFFFFF"/>
        </w:rPr>
        <w:t xml:space="preserve">ground signal </w:t>
      </w:r>
      <w:r w:rsidR="00C049C5">
        <w:rPr>
          <w:color w:val="262626"/>
          <w:shd w:val="clear" w:color="auto" w:fill="FFFFFF"/>
        </w:rPr>
        <w:t>of</w:t>
      </w:r>
      <w:r w:rsidR="00C049C5" w:rsidRPr="00CC6653">
        <w:rPr>
          <w:color w:val="262626"/>
          <w:shd w:val="clear" w:color="auto" w:fill="FFFFFF"/>
        </w:rPr>
        <w:t xml:space="preserve"> each sample</w:t>
      </w:r>
      <w:r w:rsidR="00C049C5">
        <w:rPr>
          <w:color w:val="262626"/>
          <w:shd w:val="clear" w:color="auto" w:fill="FFFFFF"/>
        </w:rPr>
        <w:t xml:space="preserve"> (VLDLR coated well – BSA coated well). Next, subtract plate background from each sample (wells incubated without ligand).</w:t>
      </w:r>
    </w:p>
    <w:p w14:paraId="2D08DAAC" w14:textId="77777777" w:rsidR="00F314B4" w:rsidRDefault="00F314B4" w:rsidP="00C049C5">
      <w:pPr>
        <w:pStyle w:val="SMText"/>
        <w:spacing w:line="480" w:lineRule="auto"/>
        <w:ind w:firstLine="0"/>
        <w:rPr>
          <w:b/>
          <w:bCs/>
          <w:color w:val="262626"/>
          <w:shd w:val="clear" w:color="auto" w:fill="FFFFFF"/>
        </w:rPr>
      </w:pPr>
    </w:p>
    <w:p w14:paraId="12DA7D52" w14:textId="47B9B46D" w:rsidR="00F314B4" w:rsidRDefault="00F314B4" w:rsidP="00C049C5">
      <w:pPr>
        <w:pStyle w:val="SMText"/>
        <w:spacing w:line="480" w:lineRule="auto"/>
        <w:ind w:firstLine="0"/>
        <w:rPr>
          <w:b/>
          <w:bCs/>
          <w:color w:val="262626"/>
          <w:shd w:val="clear" w:color="auto" w:fill="FFFFFF"/>
        </w:rPr>
      </w:pPr>
      <w:r w:rsidRPr="00F314B4">
        <w:rPr>
          <w:b/>
          <w:bCs/>
          <w:color w:val="262626"/>
          <w:shd w:val="clear" w:color="auto" w:fill="FFFFFF"/>
        </w:rPr>
        <w:t>Relevant references</w:t>
      </w:r>
    </w:p>
    <w:p w14:paraId="3A4B9F6D" w14:textId="263B21A2" w:rsidR="00F314B4" w:rsidRDefault="00F314B4" w:rsidP="00F314B4">
      <w:pPr>
        <w:pStyle w:val="SMText"/>
        <w:ind w:firstLine="0"/>
        <w:rPr>
          <w:szCs w:val="24"/>
        </w:rPr>
      </w:pPr>
      <w:proofErr w:type="spellStart"/>
      <w:r w:rsidRPr="00F314B4">
        <w:rPr>
          <w:szCs w:val="24"/>
        </w:rPr>
        <w:t>Leeb</w:t>
      </w:r>
      <w:proofErr w:type="spellEnd"/>
      <w:r w:rsidRPr="00F314B4">
        <w:rPr>
          <w:szCs w:val="24"/>
        </w:rPr>
        <w:t xml:space="preserve"> C, </w:t>
      </w:r>
      <w:proofErr w:type="spellStart"/>
      <w:r w:rsidRPr="00F314B4">
        <w:rPr>
          <w:szCs w:val="24"/>
        </w:rPr>
        <w:t>Eresheim</w:t>
      </w:r>
      <w:proofErr w:type="spellEnd"/>
      <w:r w:rsidRPr="00F314B4">
        <w:rPr>
          <w:szCs w:val="24"/>
        </w:rPr>
        <w:t xml:space="preserve"> C, </w:t>
      </w:r>
      <w:proofErr w:type="spellStart"/>
      <w:r w:rsidRPr="00F314B4">
        <w:rPr>
          <w:szCs w:val="24"/>
        </w:rPr>
        <w:t>Nimpf</w:t>
      </w:r>
      <w:proofErr w:type="spellEnd"/>
      <w:r w:rsidRPr="00F314B4">
        <w:rPr>
          <w:szCs w:val="24"/>
        </w:rPr>
        <w:t xml:space="preserve"> J. </w:t>
      </w:r>
      <w:proofErr w:type="spellStart"/>
      <w:r w:rsidRPr="00F314B4">
        <w:rPr>
          <w:szCs w:val="24"/>
        </w:rPr>
        <w:t>Clusterin</w:t>
      </w:r>
      <w:proofErr w:type="spellEnd"/>
      <w:r w:rsidRPr="00F314B4">
        <w:rPr>
          <w:szCs w:val="24"/>
        </w:rPr>
        <w:t xml:space="preserve"> is a ligand for apolipoprotein E receptor 2 (ApoER2) and very </w:t>
      </w:r>
      <w:proofErr w:type="gramStart"/>
      <w:r w:rsidRPr="00F314B4">
        <w:rPr>
          <w:szCs w:val="24"/>
        </w:rPr>
        <w:t>low density</w:t>
      </w:r>
      <w:proofErr w:type="gramEnd"/>
      <w:r w:rsidRPr="00F314B4">
        <w:rPr>
          <w:szCs w:val="24"/>
        </w:rPr>
        <w:t xml:space="preserve"> lipoprotein receptor (VLDLR) and signals via the Reelin-signaling pathway. J Biol Chem. 2014 Feb 14;289(7):4161-72. </w:t>
      </w:r>
      <w:proofErr w:type="spellStart"/>
      <w:r w:rsidRPr="00F314B4">
        <w:rPr>
          <w:szCs w:val="24"/>
        </w:rPr>
        <w:t>doi</w:t>
      </w:r>
      <w:proofErr w:type="spellEnd"/>
      <w:r w:rsidRPr="00F314B4">
        <w:rPr>
          <w:szCs w:val="24"/>
        </w:rPr>
        <w:t xml:space="preserve">: 10.1074/jbc.M113.529271. </w:t>
      </w:r>
      <w:proofErr w:type="spellStart"/>
      <w:r w:rsidRPr="00F314B4">
        <w:rPr>
          <w:szCs w:val="24"/>
        </w:rPr>
        <w:t>Epub</w:t>
      </w:r>
      <w:proofErr w:type="spellEnd"/>
      <w:r w:rsidRPr="00F314B4">
        <w:rPr>
          <w:szCs w:val="24"/>
        </w:rPr>
        <w:t xml:space="preserve"> 2013 Dec 31. PMID: 24381170; PMCID: PMC3924281.</w:t>
      </w:r>
    </w:p>
    <w:p w14:paraId="4585FA53" w14:textId="77777777" w:rsidR="00F314B4" w:rsidRPr="00F314B4" w:rsidRDefault="00F314B4" w:rsidP="00F314B4">
      <w:pPr>
        <w:pStyle w:val="SMText"/>
        <w:ind w:firstLine="0"/>
        <w:rPr>
          <w:szCs w:val="24"/>
        </w:rPr>
      </w:pPr>
    </w:p>
    <w:sectPr w:rsidR="00F314B4" w:rsidRPr="00F314B4" w:rsidSect="00E0636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9E2B" w14:textId="77777777" w:rsidR="00C914A0" w:rsidRDefault="00C914A0" w:rsidP="00F314B4">
      <w:pPr>
        <w:spacing w:after="0" w:line="240" w:lineRule="auto"/>
      </w:pPr>
      <w:r>
        <w:separator/>
      </w:r>
    </w:p>
  </w:endnote>
  <w:endnote w:type="continuationSeparator" w:id="0">
    <w:p w14:paraId="6CA297A0" w14:textId="77777777" w:rsidR="00C914A0" w:rsidRDefault="00C914A0" w:rsidP="00F3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18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F91F78" w14:textId="4E5C0A18" w:rsidR="00F314B4" w:rsidRDefault="00F314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AD7D1E" w14:textId="77777777" w:rsidR="00F314B4" w:rsidRDefault="00F31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8D1F9" w14:textId="77777777" w:rsidR="00C914A0" w:rsidRDefault="00C914A0" w:rsidP="00F314B4">
      <w:pPr>
        <w:spacing w:after="0" w:line="240" w:lineRule="auto"/>
      </w:pPr>
      <w:r>
        <w:separator/>
      </w:r>
    </w:p>
  </w:footnote>
  <w:footnote w:type="continuationSeparator" w:id="0">
    <w:p w14:paraId="3F12DD03" w14:textId="77777777" w:rsidR="00C914A0" w:rsidRDefault="00C914A0" w:rsidP="00F31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A0"/>
    <w:rsid w:val="00293C8E"/>
    <w:rsid w:val="003322DC"/>
    <w:rsid w:val="0033663A"/>
    <w:rsid w:val="00385DBE"/>
    <w:rsid w:val="0039410F"/>
    <w:rsid w:val="003F4992"/>
    <w:rsid w:val="00523E65"/>
    <w:rsid w:val="00555E3B"/>
    <w:rsid w:val="005570F1"/>
    <w:rsid w:val="00572E89"/>
    <w:rsid w:val="005E7004"/>
    <w:rsid w:val="006D2432"/>
    <w:rsid w:val="008B3DBB"/>
    <w:rsid w:val="009E3F30"/>
    <w:rsid w:val="00A449A0"/>
    <w:rsid w:val="00A97009"/>
    <w:rsid w:val="00B22FAC"/>
    <w:rsid w:val="00BC2B74"/>
    <w:rsid w:val="00C049C5"/>
    <w:rsid w:val="00C1305C"/>
    <w:rsid w:val="00C33355"/>
    <w:rsid w:val="00C61D68"/>
    <w:rsid w:val="00C914A0"/>
    <w:rsid w:val="00D609CE"/>
    <w:rsid w:val="00D646F7"/>
    <w:rsid w:val="00E06365"/>
    <w:rsid w:val="00E0666C"/>
    <w:rsid w:val="00E133E8"/>
    <w:rsid w:val="00E93CF2"/>
    <w:rsid w:val="00EA187B"/>
    <w:rsid w:val="00EF0209"/>
    <w:rsid w:val="00EF1933"/>
    <w:rsid w:val="00F314B4"/>
    <w:rsid w:val="00F6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C7C6"/>
  <w15:chartTrackingRefBased/>
  <w15:docId w15:val="{6831B591-C77C-46B8-9831-B2D2DA4B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44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9A0"/>
    <w:rPr>
      <w:sz w:val="20"/>
      <w:szCs w:val="20"/>
    </w:rPr>
  </w:style>
  <w:style w:type="paragraph" w:customStyle="1" w:styleId="SMText">
    <w:name w:val="SM Text"/>
    <w:basedOn w:val="Normal"/>
    <w:link w:val="SMTextChar"/>
    <w:qFormat/>
    <w:rsid w:val="00A449A0"/>
    <w:pPr>
      <w:spacing w:after="0" w:line="240" w:lineRule="auto"/>
      <w:ind w:firstLine="48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MTextChar">
    <w:name w:val="SM Text Char"/>
    <w:basedOn w:val="DefaultParagraphFont"/>
    <w:link w:val="SMText"/>
    <w:rsid w:val="00A449A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31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4B4"/>
  </w:style>
  <w:style w:type="paragraph" w:styleId="Footer">
    <w:name w:val="footer"/>
    <w:basedOn w:val="Normal"/>
    <w:link w:val="FooterChar"/>
    <w:uiPriority w:val="99"/>
    <w:unhideWhenUsed/>
    <w:rsid w:val="00F31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4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E27B4-6160-453A-A7FE-B7905497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Yuste-Checa, Patricia</dc:creator>
  <cp:keywords/>
  <dc:description/>
  <cp:lastModifiedBy>Yuste-Checa, Patricia</cp:lastModifiedBy>
  <cp:revision>6</cp:revision>
  <dcterms:created xsi:type="dcterms:W3CDTF">2024-01-22T11:51:00Z</dcterms:created>
  <dcterms:modified xsi:type="dcterms:W3CDTF">2024-01-23T11:30:00Z</dcterms:modified>
</cp:coreProperties>
</file>