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88CA0" w14:textId="61C5F332" w:rsidR="009A109F" w:rsidRPr="004708F5" w:rsidRDefault="000E2CEF" w:rsidP="000E2CEF">
      <w:pPr>
        <w:jc w:val="center"/>
        <w:rPr>
          <w:rFonts w:ascii="Times" w:hAnsi="Times" w:cs="Arial"/>
          <w:b/>
          <w:bCs/>
          <w:sz w:val="24"/>
          <w:szCs w:val="24"/>
        </w:rPr>
      </w:pPr>
      <w:r w:rsidRPr="004708F5">
        <w:rPr>
          <w:rFonts w:ascii="Times" w:hAnsi="Times" w:cs="Arial"/>
          <w:b/>
          <w:bCs/>
          <w:i/>
          <w:iCs/>
          <w:sz w:val="24"/>
          <w:szCs w:val="24"/>
        </w:rPr>
        <w:t>In vitro</w:t>
      </w:r>
      <w:r w:rsidRPr="004708F5">
        <w:rPr>
          <w:rFonts w:ascii="Times" w:hAnsi="Times" w:cs="Arial"/>
          <w:b/>
          <w:bCs/>
          <w:sz w:val="24"/>
          <w:szCs w:val="24"/>
        </w:rPr>
        <w:t xml:space="preserve"> GTPase activity</w:t>
      </w:r>
    </w:p>
    <w:p w14:paraId="1671D20A" w14:textId="09BFCB70" w:rsidR="009A109F" w:rsidRPr="004708F5" w:rsidRDefault="009A109F" w:rsidP="000E2CEF">
      <w:pPr>
        <w:pStyle w:val="NormalWeb"/>
        <w:rPr>
          <w:rFonts w:ascii="Times" w:hAnsi="Times" w:cs="Arial"/>
        </w:rPr>
      </w:pPr>
      <w:r w:rsidRPr="004708F5">
        <w:rPr>
          <w:rFonts w:ascii="Times" w:hAnsi="Times" w:cs="Arial"/>
          <w:b/>
          <w:bCs/>
          <w:color w:val="333333"/>
          <w:shd w:val="clear" w:color="auto" w:fill="FFFFFF"/>
        </w:rPr>
        <w:t>Authors:</w:t>
      </w:r>
      <w:r w:rsidRPr="004708F5">
        <w:rPr>
          <w:rFonts w:ascii="Times" w:hAnsi="Times" w:cs="Arial"/>
          <w:color w:val="333333"/>
          <w:shd w:val="clear" w:color="auto" w:fill="FFFFFF"/>
        </w:rPr>
        <w:t xml:space="preserve"> </w:t>
      </w:r>
      <w:r w:rsidRPr="004708F5">
        <w:rPr>
          <w:rFonts w:ascii="Times" w:hAnsi="Times" w:cs="Arial"/>
        </w:rPr>
        <w:t>Xinbo Wang</w:t>
      </w:r>
      <w:r w:rsidRPr="004708F5">
        <w:rPr>
          <w:rFonts w:ascii="Times" w:hAnsi="Times" w:cs="Arial"/>
          <w:vertAlign w:val="superscript"/>
        </w:rPr>
        <w:t>1,2</w:t>
      </w:r>
      <w:r w:rsidR="000E2CEF" w:rsidRPr="004708F5">
        <w:rPr>
          <w:rFonts w:ascii="Times" w:hAnsi="Times" w:cs="Arial"/>
          <w:vertAlign w:val="superscript"/>
        </w:rPr>
        <w:t xml:space="preserve"> </w:t>
      </w:r>
      <w:r w:rsidRPr="004708F5">
        <w:rPr>
          <w:rFonts w:ascii="Times" w:hAnsi="Times" w:cs="Arial"/>
        </w:rPr>
        <w:t>and Pietro De Camilli</w:t>
      </w:r>
      <w:r w:rsidRPr="004708F5">
        <w:rPr>
          <w:rFonts w:ascii="Times" w:hAnsi="Times" w:cs="Arial"/>
          <w:vertAlign w:val="superscript"/>
        </w:rPr>
        <w:t>1,2</w:t>
      </w:r>
    </w:p>
    <w:p w14:paraId="6A9CBB50" w14:textId="77777777" w:rsidR="000E2CEF" w:rsidRPr="004708F5" w:rsidRDefault="000E2CEF" w:rsidP="00DD7939">
      <w:pPr>
        <w:pStyle w:val="NormalWeb"/>
        <w:rPr>
          <w:rFonts w:ascii="Times" w:hAnsi="Times" w:cs="Arial"/>
        </w:rPr>
      </w:pPr>
      <w:r w:rsidRPr="004708F5">
        <w:rPr>
          <w:rFonts w:ascii="Times" w:hAnsi="Times" w:cs="Arial"/>
          <w:position w:val="6"/>
        </w:rPr>
        <w:t>1</w:t>
      </w:r>
      <w:r w:rsidRPr="004708F5">
        <w:rPr>
          <w:rFonts w:ascii="Times" w:hAnsi="Times" w:cs="Arial"/>
        </w:rPr>
        <w:t>Departments of Neuroscience and of Cell Biology, Howard Hughes Medical Institute, Program in Cellular Neuroscience, Neurodegeneration and Repair, Yale University School of Medicine, New Haven, Connecticut 06510, USA;</w:t>
      </w:r>
      <w:r w:rsidRPr="004708F5">
        <w:rPr>
          <w:rFonts w:ascii="Times" w:hAnsi="Times" w:cs="Arial"/>
        </w:rPr>
        <w:br/>
      </w:r>
      <w:r w:rsidRPr="004708F5">
        <w:rPr>
          <w:rFonts w:ascii="Times" w:hAnsi="Times" w:cs="Arial"/>
          <w:position w:val="6"/>
        </w:rPr>
        <w:t>2</w:t>
      </w:r>
      <w:r w:rsidRPr="004708F5">
        <w:rPr>
          <w:rFonts w:ascii="Times" w:hAnsi="Times" w:cs="Arial"/>
        </w:rPr>
        <w:t xml:space="preserve">Aligning Science Across Parkinson's (ASAP) Collaborative Research Network, Chevy Chase, MD, 20815 </w:t>
      </w:r>
    </w:p>
    <w:p w14:paraId="7DDFE610" w14:textId="53A84131" w:rsidR="009A109F" w:rsidRPr="004708F5" w:rsidRDefault="000E2CEF" w:rsidP="000E2CEF">
      <w:pPr>
        <w:pStyle w:val="NormalWeb"/>
        <w:rPr>
          <w:rFonts w:ascii="Times" w:hAnsi="Times" w:cs="Arial"/>
          <w:b/>
          <w:bCs/>
        </w:rPr>
      </w:pPr>
      <w:r w:rsidRPr="004708F5">
        <w:rPr>
          <w:rFonts w:ascii="Times" w:hAnsi="Times" w:cs="Arial"/>
          <w:b/>
          <w:bCs/>
        </w:rPr>
        <w:t xml:space="preserve">Abstract: </w:t>
      </w:r>
      <w:r w:rsidRPr="004708F5">
        <w:rPr>
          <w:rFonts w:ascii="Times" w:hAnsi="Times" w:cs="Arial"/>
        </w:rPr>
        <w:t xml:space="preserve">This protocol details methods for the </w:t>
      </w:r>
      <w:r w:rsidR="00CF5101" w:rsidRPr="004708F5">
        <w:rPr>
          <w:rFonts w:ascii="Times" w:hAnsi="Times" w:cs="Arial"/>
          <w:i/>
          <w:iCs/>
        </w:rPr>
        <w:t>in vitro</w:t>
      </w:r>
      <w:r w:rsidR="00CF5101" w:rsidRPr="004708F5">
        <w:rPr>
          <w:rFonts w:ascii="Times" w:hAnsi="Times" w:cs="Arial"/>
        </w:rPr>
        <w:t xml:space="preserve"> GTPase activity testing </w:t>
      </w:r>
      <w:r w:rsidR="00E77E02">
        <w:rPr>
          <w:rFonts w:ascii="Times" w:hAnsi="Times" w:cs="Arial"/>
        </w:rPr>
        <w:t xml:space="preserve">of </w:t>
      </w:r>
      <w:r w:rsidR="00C96453">
        <w:rPr>
          <w:rFonts w:ascii="Times" w:hAnsi="Times" w:cs="Arial"/>
        </w:rPr>
        <w:t xml:space="preserve">purified </w:t>
      </w:r>
      <w:r w:rsidR="00E77E02">
        <w:rPr>
          <w:rFonts w:ascii="Times" w:hAnsi="Times" w:cs="Arial"/>
        </w:rPr>
        <w:t>LRRK2.</w:t>
      </w:r>
    </w:p>
    <w:p w14:paraId="17AA9C8A" w14:textId="00485B6F" w:rsidR="00D519B7" w:rsidRPr="004708F5" w:rsidRDefault="00D519B7" w:rsidP="00D519B7">
      <w:pPr>
        <w:pStyle w:val="SMHeading"/>
        <w:rPr>
          <w:rFonts w:ascii="Times" w:eastAsia="Times New Roman" w:hAnsi="Times" w:cs="Arial"/>
          <w:kern w:val="0"/>
          <w:lang w:eastAsia="zh-CN"/>
        </w:rPr>
      </w:pPr>
      <w:bookmarkStart w:id="0" w:name="Tables"/>
      <w:bookmarkStart w:id="1" w:name="MaterialsMethods"/>
      <w:bookmarkEnd w:id="0"/>
      <w:bookmarkEnd w:id="1"/>
      <w:r w:rsidRPr="004708F5">
        <w:rPr>
          <w:rFonts w:ascii="Times" w:eastAsia="Times New Roman" w:hAnsi="Times" w:cs="Arial"/>
          <w:kern w:val="0"/>
          <w:lang w:eastAsia="zh-CN"/>
        </w:rPr>
        <w:t>Materials and Equipment:</w:t>
      </w:r>
    </w:p>
    <w:p w14:paraId="7ED727E1" w14:textId="422AD769" w:rsidR="004F12E4" w:rsidRPr="004708F5" w:rsidRDefault="004F12E4" w:rsidP="00D519B7">
      <w:pPr>
        <w:pStyle w:val="SMHeading"/>
        <w:rPr>
          <w:rFonts w:ascii="Times" w:eastAsia="Times New Roman" w:hAnsi="Times" w:cs="Arial"/>
          <w:b w:val="0"/>
          <w:bCs w:val="0"/>
          <w:kern w:val="0"/>
          <w:lang w:eastAsia="zh-CN"/>
        </w:rPr>
      </w:pPr>
      <w:proofErr w:type="spellStart"/>
      <w:r w:rsidRPr="004708F5">
        <w:rPr>
          <w:rFonts w:ascii="Times" w:eastAsia="Times New Roman" w:hAnsi="Times" w:cs="Arial"/>
          <w:b w:val="0"/>
          <w:bCs w:val="0"/>
          <w:kern w:val="0"/>
          <w:lang w:eastAsia="zh-CN"/>
        </w:rPr>
        <w:t>EnzChek</w:t>
      </w:r>
      <w:proofErr w:type="spellEnd"/>
      <w:r w:rsidRPr="004708F5">
        <w:rPr>
          <w:rFonts w:ascii="Times" w:eastAsia="Times New Roman" w:hAnsi="Times" w:cs="Arial"/>
          <w:b w:val="0"/>
          <w:bCs w:val="0"/>
          <w:kern w:val="0"/>
          <w:lang w:eastAsia="zh-CN"/>
        </w:rPr>
        <w:t xml:space="preserve"> Phosphate Assay Kit</w:t>
      </w:r>
      <w:r w:rsidR="004E5AFA" w:rsidRPr="004708F5">
        <w:rPr>
          <w:rFonts w:ascii="Times" w:eastAsia="Times New Roman" w:hAnsi="Times" w:cs="Arial"/>
          <w:b w:val="0"/>
          <w:bCs w:val="0"/>
          <w:kern w:val="0"/>
          <w:lang w:eastAsia="zh-CN"/>
        </w:rPr>
        <w:t xml:space="preserve"> (</w:t>
      </w:r>
      <w:r w:rsidRPr="004708F5">
        <w:rPr>
          <w:rFonts w:ascii="Times" w:eastAsia="Times New Roman" w:hAnsi="Times" w:cs="Arial"/>
          <w:b w:val="0"/>
          <w:bCs w:val="0"/>
          <w:kern w:val="0"/>
          <w:lang w:eastAsia="zh-CN"/>
        </w:rPr>
        <w:t>Invitrogen, E6646</w:t>
      </w:r>
      <w:r w:rsidR="004E5AFA" w:rsidRPr="004708F5">
        <w:rPr>
          <w:rFonts w:ascii="Times" w:eastAsia="Times New Roman" w:hAnsi="Times" w:cs="Arial"/>
          <w:b w:val="0"/>
          <w:bCs w:val="0"/>
          <w:kern w:val="0"/>
          <w:lang w:eastAsia="zh-CN"/>
        </w:rPr>
        <w:t xml:space="preserve">), </w:t>
      </w:r>
      <w:r w:rsidR="009003C6" w:rsidRPr="004708F5">
        <w:rPr>
          <w:rFonts w:ascii="Times" w:eastAsia="Times New Roman" w:hAnsi="Times" w:cs="Arial"/>
          <w:b w:val="0"/>
          <w:bCs w:val="0"/>
          <w:kern w:val="0"/>
          <w:lang w:eastAsia="zh-CN"/>
        </w:rPr>
        <w:t xml:space="preserve">96-well plate (Corning, 3595), </w:t>
      </w:r>
      <w:r w:rsidR="004E5AFA" w:rsidRPr="004708F5">
        <w:rPr>
          <w:rFonts w:ascii="Times" w:eastAsia="Times New Roman" w:hAnsi="Times" w:cs="Arial"/>
          <w:b w:val="0"/>
          <w:bCs w:val="0"/>
          <w:kern w:val="0"/>
          <w:lang w:eastAsia="zh-CN"/>
        </w:rPr>
        <w:t>M</w:t>
      </w:r>
      <w:r w:rsidRPr="004708F5">
        <w:rPr>
          <w:rFonts w:ascii="Times" w:eastAsia="Times New Roman" w:hAnsi="Times" w:cs="Arial"/>
          <w:b w:val="0"/>
          <w:bCs w:val="0"/>
          <w:kern w:val="0"/>
          <w:lang w:eastAsia="zh-CN"/>
        </w:rPr>
        <w:t xml:space="preserve">icroplate reader (Synergy H1; </w:t>
      </w:r>
      <w:proofErr w:type="spellStart"/>
      <w:r w:rsidRPr="004708F5">
        <w:rPr>
          <w:rFonts w:ascii="Times" w:eastAsia="Times New Roman" w:hAnsi="Times" w:cs="Arial"/>
          <w:b w:val="0"/>
          <w:bCs w:val="0"/>
          <w:kern w:val="0"/>
          <w:lang w:eastAsia="zh-CN"/>
        </w:rPr>
        <w:t>BioTek</w:t>
      </w:r>
      <w:proofErr w:type="spellEnd"/>
      <w:r w:rsidRPr="004708F5">
        <w:rPr>
          <w:rFonts w:ascii="Times" w:eastAsia="Times New Roman" w:hAnsi="Times" w:cs="Arial"/>
          <w:b w:val="0"/>
          <w:bCs w:val="0"/>
          <w:kern w:val="0"/>
          <w:lang w:eastAsia="zh-CN"/>
        </w:rPr>
        <w:t>).</w:t>
      </w:r>
    </w:p>
    <w:p w14:paraId="6B973BD0" w14:textId="1ED02604" w:rsidR="000E2CEF" w:rsidRPr="004708F5" w:rsidRDefault="000E2CEF" w:rsidP="000E2CEF">
      <w:pPr>
        <w:pStyle w:val="NormalWeb"/>
        <w:rPr>
          <w:rFonts w:ascii="Times" w:hAnsi="Times" w:cs="Arial"/>
          <w:b/>
          <w:bCs/>
        </w:rPr>
      </w:pPr>
      <w:r w:rsidRPr="004708F5">
        <w:rPr>
          <w:rFonts w:ascii="Times" w:hAnsi="Times" w:cs="Arial"/>
          <w:b/>
          <w:bCs/>
        </w:rPr>
        <w:t>Protocol:</w:t>
      </w:r>
    </w:p>
    <w:p w14:paraId="55B99A39" w14:textId="6A90A7EA" w:rsidR="009003C6" w:rsidRPr="004708F5" w:rsidRDefault="009003C6" w:rsidP="000E2CEF">
      <w:pPr>
        <w:jc w:val="both"/>
        <w:rPr>
          <w:rFonts w:ascii="Times" w:hAnsi="Times" w:cs="Arial"/>
          <w:sz w:val="24"/>
          <w:szCs w:val="24"/>
        </w:rPr>
      </w:pPr>
      <w:r w:rsidRPr="004708F5">
        <w:rPr>
          <w:rFonts w:ascii="Times" w:hAnsi="Times" w:cs="Arial"/>
          <w:sz w:val="24"/>
          <w:szCs w:val="24"/>
        </w:rPr>
        <w:t xml:space="preserve">1, </w:t>
      </w:r>
      <w:bookmarkStart w:id="2" w:name="OLE_LINK79"/>
      <w:bookmarkStart w:id="3" w:name="OLE_LINK80"/>
      <w:r w:rsidR="005E7582">
        <w:rPr>
          <w:rFonts w:ascii="Times" w:hAnsi="Times" w:cs="Arial"/>
          <w:sz w:val="24"/>
          <w:szCs w:val="24"/>
        </w:rPr>
        <w:t>S</w:t>
      </w:r>
      <w:r w:rsidR="00B44369">
        <w:rPr>
          <w:rFonts w:ascii="Times" w:hAnsi="Times" w:cs="Arial"/>
          <w:sz w:val="24"/>
          <w:szCs w:val="24"/>
        </w:rPr>
        <w:t>et up</w:t>
      </w:r>
      <w:r w:rsidR="005E7582">
        <w:rPr>
          <w:rFonts w:ascii="Times" w:hAnsi="Times" w:cs="Arial"/>
          <w:sz w:val="24"/>
          <w:szCs w:val="24"/>
        </w:rPr>
        <w:t xml:space="preserve"> the </w:t>
      </w:r>
      <w:r w:rsidRPr="004708F5">
        <w:rPr>
          <w:rFonts w:ascii="Times" w:hAnsi="Times" w:cs="Arial"/>
          <w:sz w:val="24"/>
          <w:szCs w:val="24"/>
        </w:rPr>
        <w:t>reaction</w:t>
      </w:r>
      <w:r w:rsidR="005E7582">
        <w:rPr>
          <w:rFonts w:ascii="Times" w:hAnsi="Times" w:cs="Arial"/>
          <w:sz w:val="24"/>
          <w:szCs w:val="24"/>
        </w:rPr>
        <w:t xml:space="preserve"> mixtures</w:t>
      </w:r>
      <w:r w:rsidRPr="004708F5">
        <w:rPr>
          <w:rFonts w:ascii="Times" w:hAnsi="Times" w:cs="Arial"/>
          <w:sz w:val="24"/>
          <w:szCs w:val="24"/>
        </w:rPr>
        <w:t xml:space="preserve"> </w:t>
      </w:r>
      <w:bookmarkEnd w:id="2"/>
      <w:bookmarkEnd w:id="3"/>
      <w:r w:rsidRPr="004708F5">
        <w:rPr>
          <w:rFonts w:ascii="Times" w:hAnsi="Times" w:cs="Arial"/>
          <w:sz w:val="24"/>
          <w:szCs w:val="24"/>
        </w:rPr>
        <w:t xml:space="preserve">in </w:t>
      </w:r>
      <w:r w:rsidR="004708F5" w:rsidRPr="004708F5">
        <w:rPr>
          <w:rFonts w:ascii="Times" w:hAnsi="Times" w:cs="Arial"/>
          <w:sz w:val="24"/>
          <w:szCs w:val="24"/>
        </w:rPr>
        <w:t>a</w:t>
      </w:r>
      <w:r w:rsidRPr="004708F5">
        <w:rPr>
          <w:rFonts w:ascii="Times" w:hAnsi="Times" w:cs="Arial"/>
          <w:sz w:val="24"/>
          <w:szCs w:val="24"/>
        </w:rPr>
        <w:t xml:space="preserve"> </w:t>
      </w:r>
      <w:bookmarkStart w:id="4" w:name="OLE_LINK59"/>
      <w:bookmarkStart w:id="5" w:name="OLE_LINK60"/>
      <w:r w:rsidRPr="004708F5">
        <w:rPr>
          <w:rFonts w:ascii="Times" w:hAnsi="Times" w:cs="Arial"/>
          <w:sz w:val="24"/>
          <w:szCs w:val="24"/>
        </w:rPr>
        <w:t>96-well plate</w:t>
      </w:r>
      <w:bookmarkEnd w:id="4"/>
      <w:bookmarkEnd w:id="5"/>
      <w:r w:rsidR="00DC0126" w:rsidRPr="004708F5">
        <w:rPr>
          <w:rFonts w:ascii="Times" w:hAnsi="Times" w:cs="Arial"/>
          <w:sz w:val="24"/>
          <w:szCs w:val="24"/>
        </w:rPr>
        <w:t xml:space="preserve"> with</w:t>
      </w:r>
      <w:r w:rsidR="004708F5" w:rsidRPr="004708F5">
        <w:rPr>
          <w:rFonts w:ascii="Times" w:hAnsi="Times" w:cs="Arial"/>
          <w:sz w:val="24"/>
          <w:szCs w:val="24"/>
        </w:rPr>
        <w:t xml:space="preserve"> 5μl 20× reaction buffer (1 M Tris-HCl, 20 mM MgCl2, pH7.5 and 2 mM sodium </w:t>
      </w:r>
      <w:proofErr w:type="spellStart"/>
      <w:r w:rsidR="004708F5" w:rsidRPr="004708F5">
        <w:rPr>
          <w:rFonts w:ascii="Times" w:hAnsi="Times" w:cs="Arial"/>
          <w:sz w:val="24"/>
          <w:szCs w:val="24"/>
        </w:rPr>
        <w:t>azide</w:t>
      </w:r>
      <w:proofErr w:type="spellEnd"/>
      <w:r w:rsidR="004708F5" w:rsidRPr="004708F5">
        <w:rPr>
          <w:rFonts w:ascii="Times" w:hAnsi="Times" w:cs="Arial"/>
          <w:sz w:val="24"/>
          <w:szCs w:val="24"/>
        </w:rPr>
        <w:t xml:space="preserve">), 200 </w:t>
      </w:r>
      <w:proofErr w:type="spellStart"/>
      <w:r w:rsidR="004708F5" w:rsidRPr="004708F5">
        <w:rPr>
          <w:rFonts w:ascii="Times" w:hAnsi="Times" w:cs="Arial"/>
          <w:sz w:val="24"/>
          <w:szCs w:val="24"/>
        </w:rPr>
        <w:t>μM</w:t>
      </w:r>
      <w:proofErr w:type="spellEnd"/>
      <w:r w:rsidR="004708F5" w:rsidRPr="004708F5">
        <w:rPr>
          <w:rFonts w:ascii="Times" w:hAnsi="Times" w:cs="Arial"/>
          <w:sz w:val="24"/>
          <w:szCs w:val="24"/>
        </w:rPr>
        <w:t xml:space="preserve"> 2-amino-6-mercapto-7-methylpurine riboside, 0.1 U purine nucleoside phosphorylase, and 9 </w:t>
      </w:r>
      <w:proofErr w:type="spellStart"/>
      <w:r w:rsidR="004708F5" w:rsidRPr="004708F5">
        <w:rPr>
          <w:rFonts w:ascii="Times" w:hAnsi="Times" w:cs="Arial"/>
          <w:sz w:val="24"/>
          <w:szCs w:val="24"/>
        </w:rPr>
        <w:t>μM</w:t>
      </w:r>
      <w:proofErr w:type="spellEnd"/>
      <w:r w:rsidR="004708F5" w:rsidRPr="004708F5">
        <w:rPr>
          <w:rFonts w:ascii="Times" w:hAnsi="Times" w:cs="Arial"/>
          <w:sz w:val="24"/>
          <w:szCs w:val="24"/>
        </w:rPr>
        <w:t xml:space="preserve"> LRRK2 protein or 0.8 </w:t>
      </w:r>
      <w:proofErr w:type="spellStart"/>
      <w:r w:rsidR="004708F5" w:rsidRPr="004708F5">
        <w:rPr>
          <w:rFonts w:ascii="Times" w:hAnsi="Times" w:cs="Arial"/>
          <w:sz w:val="24"/>
          <w:szCs w:val="24"/>
        </w:rPr>
        <w:t>μM</w:t>
      </w:r>
      <w:proofErr w:type="spellEnd"/>
      <w:r w:rsidR="004708F5" w:rsidRPr="004708F5">
        <w:rPr>
          <w:rFonts w:ascii="Times" w:hAnsi="Times" w:cs="Arial"/>
          <w:sz w:val="24"/>
          <w:szCs w:val="24"/>
        </w:rPr>
        <w:t xml:space="preserve"> Dynamin1 </w:t>
      </w:r>
      <w:r w:rsidR="005E7582">
        <w:rPr>
          <w:rFonts w:ascii="Times" w:hAnsi="Times" w:cs="Arial"/>
          <w:sz w:val="24"/>
          <w:szCs w:val="24"/>
        </w:rPr>
        <w:t xml:space="preserve">or buffers for the control </w:t>
      </w:r>
      <w:r w:rsidR="004708F5" w:rsidRPr="004708F5">
        <w:rPr>
          <w:rFonts w:ascii="Times" w:hAnsi="Times" w:cs="Arial"/>
          <w:sz w:val="24"/>
          <w:szCs w:val="24"/>
        </w:rPr>
        <w:t>in separate wells.</w:t>
      </w:r>
    </w:p>
    <w:p w14:paraId="76387DAC" w14:textId="57A831F0" w:rsidR="00BA1FF6" w:rsidRPr="00206A5E" w:rsidRDefault="004708F5" w:rsidP="00206A5E">
      <w:pPr>
        <w:pStyle w:val="NormalWeb"/>
        <w:rPr>
          <w:rFonts w:ascii="Times" w:eastAsia="SimSun" w:hAnsi="Times" w:cs="Arial"/>
          <w:lang w:eastAsia="en-US"/>
        </w:rPr>
      </w:pPr>
      <w:r w:rsidRPr="004708F5">
        <w:rPr>
          <w:rFonts w:ascii="Times" w:hAnsi="Times" w:cs="Calibri"/>
          <w:b/>
          <w:bCs/>
          <w:color w:val="191919"/>
        </w:rPr>
        <w:t xml:space="preserve">Note: </w:t>
      </w:r>
      <w:r w:rsidR="00C96453">
        <w:rPr>
          <w:rFonts w:ascii="Times" w:eastAsia="SimSun" w:hAnsi="Times" w:cs="Arial"/>
          <w:lang w:eastAsia="en-US"/>
        </w:rPr>
        <w:t>F</w:t>
      </w:r>
      <w:r w:rsidR="00CF65D6" w:rsidRPr="00206A5E">
        <w:rPr>
          <w:rFonts w:ascii="Times" w:eastAsia="SimSun" w:hAnsi="Times" w:cs="Arial"/>
          <w:lang w:eastAsia="en-US"/>
        </w:rPr>
        <w:t xml:space="preserve">or </w:t>
      </w:r>
      <w:r w:rsidR="00206A5E">
        <w:rPr>
          <w:rFonts w:ascii="Times" w:eastAsia="SimSun" w:hAnsi="Times" w:cs="Arial" w:hint="eastAsia"/>
        </w:rPr>
        <w:t>be</w:t>
      </w:r>
      <w:r w:rsidR="00206A5E">
        <w:rPr>
          <w:rFonts w:ascii="Times" w:eastAsia="SimSun" w:hAnsi="Times" w:cs="Arial"/>
        </w:rPr>
        <w:t>st measurement results, we usually use a total</w:t>
      </w:r>
      <w:r w:rsidR="002F0D89">
        <w:rPr>
          <w:rFonts w:ascii="Times" w:eastAsia="SimSun" w:hAnsi="Times" w:cs="Arial"/>
        </w:rPr>
        <w:t xml:space="preserve"> </w:t>
      </w:r>
      <w:r w:rsidR="00206A5E">
        <w:rPr>
          <w:rFonts w:ascii="Times" w:eastAsia="SimSun" w:hAnsi="Times" w:cs="Arial"/>
        </w:rPr>
        <w:t xml:space="preserve">volume of 80-100 </w:t>
      </w:r>
      <w:proofErr w:type="spellStart"/>
      <w:r w:rsidR="00206A5E" w:rsidRPr="00206A5E">
        <w:rPr>
          <w:rFonts w:ascii="Times" w:eastAsia="SimSun" w:hAnsi="Times" w:cs="Arial"/>
        </w:rPr>
        <w:t>μl</w:t>
      </w:r>
      <w:proofErr w:type="spellEnd"/>
      <w:r w:rsidR="00206A5E" w:rsidRPr="00206A5E">
        <w:rPr>
          <w:rFonts w:ascii="Times" w:eastAsia="SimSun" w:hAnsi="Times" w:cs="Arial"/>
        </w:rPr>
        <w:t>.</w:t>
      </w:r>
    </w:p>
    <w:p w14:paraId="3181803E" w14:textId="0C0D0DDF" w:rsidR="00A6318D" w:rsidRPr="004708F5" w:rsidRDefault="00206A5E" w:rsidP="000E2CEF">
      <w:pPr>
        <w:jc w:val="both"/>
        <w:rPr>
          <w:rFonts w:ascii="Times" w:hAnsi="Times" w:cs="Arial"/>
          <w:sz w:val="24"/>
          <w:szCs w:val="24"/>
        </w:rPr>
      </w:pPr>
      <w:r>
        <w:rPr>
          <w:rFonts w:ascii="Times" w:hAnsi="Times" w:cs="Arial"/>
          <w:sz w:val="24"/>
          <w:szCs w:val="24"/>
        </w:rPr>
        <w:t xml:space="preserve">2, </w:t>
      </w:r>
      <w:r w:rsidR="005E7582">
        <w:rPr>
          <w:rFonts w:ascii="Times" w:hAnsi="Times" w:cs="Arial"/>
          <w:sz w:val="24"/>
          <w:szCs w:val="24"/>
        </w:rPr>
        <w:t>Prei</w:t>
      </w:r>
      <w:r w:rsidR="00FC10E7">
        <w:rPr>
          <w:rFonts w:ascii="Times" w:hAnsi="Times" w:cs="Arial"/>
          <w:sz w:val="24"/>
          <w:szCs w:val="24"/>
        </w:rPr>
        <w:t>ncubate s</w:t>
      </w:r>
      <w:r w:rsidR="000E2CEF" w:rsidRPr="004708F5">
        <w:rPr>
          <w:rFonts w:ascii="Times" w:hAnsi="Times" w:cs="Arial"/>
          <w:sz w:val="24"/>
          <w:szCs w:val="24"/>
        </w:rPr>
        <w:t>amples</w:t>
      </w:r>
      <w:r w:rsidR="00FC10E7">
        <w:rPr>
          <w:rFonts w:ascii="Times" w:hAnsi="Times" w:cs="Arial"/>
          <w:sz w:val="24"/>
          <w:szCs w:val="24"/>
        </w:rPr>
        <w:t xml:space="preserve"> </w:t>
      </w:r>
      <w:r w:rsidR="005E7582">
        <w:rPr>
          <w:rFonts w:ascii="Times" w:hAnsi="Times" w:cs="Arial"/>
          <w:sz w:val="24"/>
          <w:szCs w:val="24"/>
        </w:rPr>
        <w:t xml:space="preserve">in </w:t>
      </w:r>
      <w:r w:rsidR="00FC10E7">
        <w:rPr>
          <w:rFonts w:ascii="Times" w:hAnsi="Times" w:cs="Arial"/>
          <w:sz w:val="24"/>
          <w:szCs w:val="24"/>
        </w:rPr>
        <w:t>the Microplate reader</w:t>
      </w:r>
      <w:r w:rsidR="00FC10E7" w:rsidRPr="004708F5">
        <w:rPr>
          <w:rFonts w:ascii="Times" w:hAnsi="Times" w:cs="Arial"/>
          <w:sz w:val="24"/>
          <w:szCs w:val="24"/>
        </w:rPr>
        <w:t xml:space="preserve"> </w:t>
      </w:r>
      <w:r w:rsidR="000E2CEF" w:rsidRPr="004708F5">
        <w:rPr>
          <w:rFonts w:ascii="Times" w:hAnsi="Times" w:cs="Arial"/>
          <w:sz w:val="24"/>
          <w:szCs w:val="24"/>
        </w:rPr>
        <w:t>for 30 min at 37°C</w:t>
      </w:r>
      <w:r w:rsidR="00FC10E7">
        <w:rPr>
          <w:rFonts w:ascii="Times" w:hAnsi="Times" w:cs="Arial"/>
          <w:sz w:val="24"/>
          <w:szCs w:val="24"/>
        </w:rPr>
        <w:t>.</w:t>
      </w:r>
    </w:p>
    <w:p w14:paraId="34B9E052" w14:textId="77777777" w:rsidR="00A6318D" w:rsidRPr="004708F5" w:rsidRDefault="00A6318D" w:rsidP="000E2CEF">
      <w:pPr>
        <w:jc w:val="both"/>
        <w:rPr>
          <w:rFonts w:ascii="Times" w:hAnsi="Times" w:cs="Arial"/>
          <w:sz w:val="24"/>
          <w:szCs w:val="24"/>
        </w:rPr>
      </w:pPr>
    </w:p>
    <w:p w14:paraId="6EDAC862" w14:textId="4BE9CC75" w:rsidR="00A6318D" w:rsidRPr="004708F5" w:rsidRDefault="005E7582" w:rsidP="000E2CEF">
      <w:pPr>
        <w:jc w:val="both"/>
        <w:rPr>
          <w:rFonts w:ascii="Times" w:hAnsi="Times" w:cs="Arial"/>
          <w:sz w:val="24"/>
          <w:szCs w:val="24"/>
        </w:rPr>
      </w:pPr>
      <w:r>
        <w:rPr>
          <w:rFonts w:ascii="Times" w:hAnsi="Times" w:cs="Arial"/>
          <w:sz w:val="24"/>
          <w:szCs w:val="24"/>
        </w:rPr>
        <w:t xml:space="preserve">3, Add </w:t>
      </w:r>
      <w:r w:rsidRPr="004708F5">
        <w:rPr>
          <w:rFonts w:ascii="Times" w:hAnsi="Times" w:cs="Arial"/>
          <w:sz w:val="24"/>
          <w:szCs w:val="24"/>
        </w:rPr>
        <w:t>0.5 mM GTP</w:t>
      </w:r>
      <w:r>
        <w:rPr>
          <w:rFonts w:ascii="Times" w:hAnsi="Times" w:cs="Arial"/>
          <w:sz w:val="24"/>
          <w:szCs w:val="24"/>
        </w:rPr>
        <w:t xml:space="preserve"> (final concentration)</w:t>
      </w:r>
      <w:r w:rsidRPr="004708F5">
        <w:rPr>
          <w:rFonts w:ascii="Times" w:hAnsi="Times" w:cs="Arial"/>
          <w:sz w:val="24"/>
          <w:szCs w:val="24"/>
        </w:rPr>
        <w:t xml:space="preserve"> </w:t>
      </w:r>
      <w:r>
        <w:rPr>
          <w:rFonts w:ascii="Times" w:hAnsi="Times" w:cs="Arial"/>
          <w:sz w:val="24"/>
          <w:szCs w:val="24"/>
        </w:rPr>
        <w:t>to</w:t>
      </w:r>
      <w:r w:rsidR="000E2CEF" w:rsidRPr="004708F5">
        <w:rPr>
          <w:rFonts w:ascii="Times" w:hAnsi="Times" w:cs="Arial"/>
          <w:sz w:val="24"/>
          <w:szCs w:val="24"/>
        </w:rPr>
        <w:t xml:space="preserve"> initiate </w:t>
      </w:r>
      <w:r>
        <w:rPr>
          <w:rFonts w:ascii="Times" w:hAnsi="Times" w:cs="Arial"/>
          <w:sz w:val="24"/>
          <w:szCs w:val="24"/>
        </w:rPr>
        <w:t>the reaction</w:t>
      </w:r>
      <w:r w:rsidR="000E2CEF" w:rsidRPr="004708F5">
        <w:rPr>
          <w:rFonts w:ascii="Times" w:hAnsi="Times" w:cs="Arial"/>
          <w:sz w:val="24"/>
          <w:szCs w:val="24"/>
        </w:rPr>
        <w:t xml:space="preserve">. </w:t>
      </w:r>
    </w:p>
    <w:p w14:paraId="53DD7709" w14:textId="77777777" w:rsidR="00A6318D" w:rsidRPr="004708F5" w:rsidRDefault="00A6318D" w:rsidP="000E2CEF">
      <w:pPr>
        <w:jc w:val="both"/>
        <w:rPr>
          <w:rFonts w:ascii="Times" w:hAnsi="Times" w:cs="Arial"/>
          <w:sz w:val="24"/>
          <w:szCs w:val="24"/>
        </w:rPr>
      </w:pPr>
    </w:p>
    <w:p w14:paraId="0923B671" w14:textId="2AE5654D" w:rsidR="005E7582" w:rsidRDefault="005E7582" w:rsidP="005E7582">
      <w:pPr>
        <w:jc w:val="both"/>
        <w:rPr>
          <w:rFonts w:ascii="Times" w:hAnsi="Times" w:cs="Arial"/>
          <w:sz w:val="24"/>
          <w:szCs w:val="24"/>
        </w:rPr>
      </w:pPr>
      <w:r>
        <w:rPr>
          <w:rFonts w:ascii="Times" w:hAnsi="Times" w:cs="Arial"/>
          <w:sz w:val="24"/>
          <w:szCs w:val="24"/>
        </w:rPr>
        <w:t xml:space="preserve">4, </w:t>
      </w:r>
      <w:r w:rsidRPr="00B44369">
        <w:rPr>
          <w:rFonts w:ascii="Times" w:hAnsi="Times" w:cs="Arial"/>
          <w:sz w:val="24"/>
          <w:szCs w:val="24"/>
        </w:rPr>
        <w:t>Immediately begin reading absorbance at 360 nm</w:t>
      </w:r>
      <w:r w:rsidR="002F0D89">
        <w:rPr>
          <w:rFonts w:ascii="Times" w:hAnsi="Times" w:cs="Arial"/>
          <w:sz w:val="24"/>
          <w:szCs w:val="24"/>
        </w:rPr>
        <w:t>,</w:t>
      </w:r>
      <w:r>
        <w:rPr>
          <w:rFonts w:ascii="Times" w:hAnsi="Times" w:cs="Arial"/>
          <w:sz w:val="24"/>
          <w:szCs w:val="24"/>
        </w:rPr>
        <w:t xml:space="preserve"> </w:t>
      </w:r>
      <w:r w:rsidRPr="004708F5">
        <w:rPr>
          <w:rFonts w:ascii="Times" w:hAnsi="Times" w:cs="Arial"/>
          <w:sz w:val="24"/>
          <w:szCs w:val="24"/>
        </w:rPr>
        <w:t>every 1 min over 45 min at 37°C</w:t>
      </w:r>
      <w:r>
        <w:rPr>
          <w:rFonts w:ascii="Times" w:hAnsi="Times" w:cs="Arial"/>
          <w:sz w:val="24"/>
          <w:szCs w:val="24"/>
        </w:rPr>
        <w:t>.</w:t>
      </w:r>
    </w:p>
    <w:p w14:paraId="5C7F9D1C" w14:textId="43DD4C31" w:rsidR="009A109F" w:rsidRPr="004708F5" w:rsidRDefault="005E7582" w:rsidP="005E7582">
      <w:pPr>
        <w:spacing w:before="100" w:beforeAutospacing="1" w:after="100" w:afterAutospacing="1"/>
        <w:rPr>
          <w:rFonts w:ascii="Times" w:hAnsi="Times" w:cs="Arial"/>
          <w:sz w:val="24"/>
          <w:szCs w:val="24"/>
        </w:rPr>
      </w:pPr>
      <w:r w:rsidRPr="005E7582">
        <w:rPr>
          <w:rFonts w:ascii="Times" w:hAnsi="Times" w:cs="Arial"/>
          <w:sz w:val="24"/>
          <w:szCs w:val="24"/>
        </w:rPr>
        <w:t xml:space="preserve">5, </w:t>
      </w:r>
      <w:r w:rsidRPr="00B44369">
        <w:rPr>
          <w:rFonts w:ascii="Times" w:hAnsi="Times" w:cs="Arial"/>
          <w:sz w:val="24"/>
          <w:szCs w:val="24"/>
        </w:rPr>
        <w:t>For data analysis, subtract the</w:t>
      </w:r>
      <w:r w:rsidRPr="005E7582">
        <w:rPr>
          <w:rFonts w:ascii="Times" w:hAnsi="Times" w:cs="Arial"/>
          <w:sz w:val="24"/>
          <w:szCs w:val="24"/>
        </w:rPr>
        <w:t xml:space="preserve"> last</w:t>
      </w:r>
      <w:r w:rsidRPr="00B44369">
        <w:rPr>
          <w:rFonts w:ascii="Times" w:hAnsi="Times" w:cs="Arial"/>
          <w:sz w:val="24"/>
          <w:szCs w:val="24"/>
        </w:rPr>
        <w:t xml:space="preserve"> values determined </w:t>
      </w:r>
      <w:r w:rsidRPr="005E7582">
        <w:rPr>
          <w:rFonts w:ascii="Times" w:hAnsi="Times" w:cs="Arial"/>
          <w:sz w:val="24"/>
          <w:szCs w:val="24"/>
        </w:rPr>
        <w:t>before GTP was added</w:t>
      </w:r>
      <w:r w:rsidRPr="00B44369">
        <w:rPr>
          <w:rFonts w:ascii="Times" w:hAnsi="Times" w:cs="Arial"/>
          <w:sz w:val="24"/>
          <w:szCs w:val="24"/>
        </w:rPr>
        <w:t xml:space="preserve"> from the corresponding values for the experimental reaction.</w:t>
      </w:r>
    </w:p>
    <w:sectPr w:rsidR="009A109F" w:rsidRPr="004708F5" w:rsidSect="000E4D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09F"/>
    <w:rsid w:val="00002BDF"/>
    <w:rsid w:val="00015B10"/>
    <w:rsid w:val="00017CD1"/>
    <w:rsid w:val="0002250D"/>
    <w:rsid w:val="0003301D"/>
    <w:rsid w:val="000368BB"/>
    <w:rsid w:val="00036CFF"/>
    <w:rsid w:val="00040174"/>
    <w:rsid w:val="00092922"/>
    <w:rsid w:val="00096331"/>
    <w:rsid w:val="000A242A"/>
    <w:rsid w:val="000B027C"/>
    <w:rsid w:val="000E2CEF"/>
    <w:rsid w:val="000E4DDF"/>
    <w:rsid w:val="00101F5A"/>
    <w:rsid w:val="0012354F"/>
    <w:rsid w:val="00133C00"/>
    <w:rsid w:val="001412FC"/>
    <w:rsid w:val="00150C12"/>
    <w:rsid w:val="00187B89"/>
    <w:rsid w:val="001A15D1"/>
    <w:rsid w:val="001D190F"/>
    <w:rsid w:val="002003B0"/>
    <w:rsid w:val="00203AB7"/>
    <w:rsid w:val="00206A5E"/>
    <w:rsid w:val="00212D73"/>
    <w:rsid w:val="00215446"/>
    <w:rsid w:val="002173BA"/>
    <w:rsid w:val="002455A2"/>
    <w:rsid w:val="0025316D"/>
    <w:rsid w:val="002569E0"/>
    <w:rsid w:val="00270AD8"/>
    <w:rsid w:val="00281468"/>
    <w:rsid w:val="00285FEB"/>
    <w:rsid w:val="00292462"/>
    <w:rsid w:val="0029620C"/>
    <w:rsid w:val="002D0A0C"/>
    <w:rsid w:val="002E0463"/>
    <w:rsid w:val="002F0D89"/>
    <w:rsid w:val="002F3BF2"/>
    <w:rsid w:val="0030109D"/>
    <w:rsid w:val="00320A84"/>
    <w:rsid w:val="0032196C"/>
    <w:rsid w:val="003316F8"/>
    <w:rsid w:val="003339AB"/>
    <w:rsid w:val="00365E79"/>
    <w:rsid w:val="003761B4"/>
    <w:rsid w:val="003801F9"/>
    <w:rsid w:val="003905C8"/>
    <w:rsid w:val="00392F0C"/>
    <w:rsid w:val="003B05AA"/>
    <w:rsid w:val="003D4C9B"/>
    <w:rsid w:val="00404BCC"/>
    <w:rsid w:val="00413D14"/>
    <w:rsid w:val="00440D83"/>
    <w:rsid w:val="00441446"/>
    <w:rsid w:val="00453C28"/>
    <w:rsid w:val="004708F5"/>
    <w:rsid w:val="00474B23"/>
    <w:rsid w:val="004772A8"/>
    <w:rsid w:val="004826EC"/>
    <w:rsid w:val="00490E96"/>
    <w:rsid w:val="004930B9"/>
    <w:rsid w:val="004A2CFD"/>
    <w:rsid w:val="004A7E99"/>
    <w:rsid w:val="004C20B0"/>
    <w:rsid w:val="004E38A1"/>
    <w:rsid w:val="004E5AFA"/>
    <w:rsid w:val="004F1049"/>
    <w:rsid w:val="004F12E4"/>
    <w:rsid w:val="005007B6"/>
    <w:rsid w:val="005110DD"/>
    <w:rsid w:val="00537043"/>
    <w:rsid w:val="005429FE"/>
    <w:rsid w:val="005709EA"/>
    <w:rsid w:val="005B5D61"/>
    <w:rsid w:val="005D241D"/>
    <w:rsid w:val="005E3A75"/>
    <w:rsid w:val="005E3B5B"/>
    <w:rsid w:val="005E5E99"/>
    <w:rsid w:val="005E7582"/>
    <w:rsid w:val="005F61C2"/>
    <w:rsid w:val="00602424"/>
    <w:rsid w:val="00606ACE"/>
    <w:rsid w:val="00621643"/>
    <w:rsid w:val="00624199"/>
    <w:rsid w:val="0065486C"/>
    <w:rsid w:val="00661E69"/>
    <w:rsid w:val="00661F09"/>
    <w:rsid w:val="00665816"/>
    <w:rsid w:val="00666DF9"/>
    <w:rsid w:val="006A312D"/>
    <w:rsid w:val="006C1F46"/>
    <w:rsid w:val="006D2E49"/>
    <w:rsid w:val="006D3EB1"/>
    <w:rsid w:val="006E28E7"/>
    <w:rsid w:val="006E4F4E"/>
    <w:rsid w:val="006F25F0"/>
    <w:rsid w:val="00700B1C"/>
    <w:rsid w:val="0070502B"/>
    <w:rsid w:val="00715D69"/>
    <w:rsid w:val="007214A8"/>
    <w:rsid w:val="007228DF"/>
    <w:rsid w:val="0073656A"/>
    <w:rsid w:val="00765F60"/>
    <w:rsid w:val="00781802"/>
    <w:rsid w:val="00783812"/>
    <w:rsid w:val="00787B5A"/>
    <w:rsid w:val="007D513E"/>
    <w:rsid w:val="007F2B58"/>
    <w:rsid w:val="007F46D3"/>
    <w:rsid w:val="007F5523"/>
    <w:rsid w:val="008034BA"/>
    <w:rsid w:val="008210B8"/>
    <w:rsid w:val="00851B0C"/>
    <w:rsid w:val="008662E6"/>
    <w:rsid w:val="00866D21"/>
    <w:rsid w:val="0087308B"/>
    <w:rsid w:val="00891A6C"/>
    <w:rsid w:val="00893134"/>
    <w:rsid w:val="008A1DD7"/>
    <w:rsid w:val="008A733C"/>
    <w:rsid w:val="008B547A"/>
    <w:rsid w:val="008B6CBD"/>
    <w:rsid w:val="008C0594"/>
    <w:rsid w:val="008E208D"/>
    <w:rsid w:val="008E51D7"/>
    <w:rsid w:val="008F0568"/>
    <w:rsid w:val="009003C6"/>
    <w:rsid w:val="00920281"/>
    <w:rsid w:val="00920AEC"/>
    <w:rsid w:val="00925472"/>
    <w:rsid w:val="009321AD"/>
    <w:rsid w:val="00936B59"/>
    <w:rsid w:val="00942F91"/>
    <w:rsid w:val="009842E5"/>
    <w:rsid w:val="009A109F"/>
    <w:rsid w:val="009A2778"/>
    <w:rsid w:val="009A3EA4"/>
    <w:rsid w:val="009B053E"/>
    <w:rsid w:val="009B34F3"/>
    <w:rsid w:val="009D1B46"/>
    <w:rsid w:val="009D2649"/>
    <w:rsid w:val="00A04239"/>
    <w:rsid w:val="00A24100"/>
    <w:rsid w:val="00A31827"/>
    <w:rsid w:val="00A62B62"/>
    <w:rsid w:val="00A6318D"/>
    <w:rsid w:val="00A82688"/>
    <w:rsid w:val="00A83759"/>
    <w:rsid w:val="00A84025"/>
    <w:rsid w:val="00A949E3"/>
    <w:rsid w:val="00AA451F"/>
    <w:rsid w:val="00AB366D"/>
    <w:rsid w:val="00AC469C"/>
    <w:rsid w:val="00AF3789"/>
    <w:rsid w:val="00B146A3"/>
    <w:rsid w:val="00B23759"/>
    <w:rsid w:val="00B254B9"/>
    <w:rsid w:val="00B25ABA"/>
    <w:rsid w:val="00B44369"/>
    <w:rsid w:val="00B5625E"/>
    <w:rsid w:val="00B90CAD"/>
    <w:rsid w:val="00BA1FF6"/>
    <w:rsid w:val="00BB5C12"/>
    <w:rsid w:val="00C15C52"/>
    <w:rsid w:val="00C5076E"/>
    <w:rsid w:val="00C5323E"/>
    <w:rsid w:val="00C54D5D"/>
    <w:rsid w:val="00C66331"/>
    <w:rsid w:val="00C80284"/>
    <w:rsid w:val="00C86F3A"/>
    <w:rsid w:val="00C9566C"/>
    <w:rsid w:val="00C96453"/>
    <w:rsid w:val="00CA27F7"/>
    <w:rsid w:val="00CA59C8"/>
    <w:rsid w:val="00CB2BE8"/>
    <w:rsid w:val="00CF22BF"/>
    <w:rsid w:val="00CF25ED"/>
    <w:rsid w:val="00CF34C1"/>
    <w:rsid w:val="00CF3C91"/>
    <w:rsid w:val="00CF3F62"/>
    <w:rsid w:val="00CF5101"/>
    <w:rsid w:val="00CF65D6"/>
    <w:rsid w:val="00D17C83"/>
    <w:rsid w:val="00D42CF8"/>
    <w:rsid w:val="00D519B7"/>
    <w:rsid w:val="00D653B9"/>
    <w:rsid w:val="00DC0126"/>
    <w:rsid w:val="00DC1949"/>
    <w:rsid w:val="00DC6D32"/>
    <w:rsid w:val="00DD7939"/>
    <w:rsid w:val="00DE63CA"/>
    <w:rsid w:val="00E03F98"/>
    <w:rsid w:val="00E4069B"/>
    <w:rsid w:val="00E44FCE"/>
    <w:rsid w:val="00E52429"/>
    <w:rsid w:val="00E61258"/>
    <w:rsid w:val="00E62DD8"/>
    <w:rsid w:val="00E77E02"/>
    <w:rsid w:val="00E8567E"/>
    <w:rsid w:val="00E97B17"/>
    <w:rsid w:val="00EA0F4D"/>
    <w:rsid w:val="00EA1DD2"/>
    <w:rsid w:val="00EA5B2D"/>
    <w:rsid w:val="00EB1294"/>
    <w:rsid w:val="00EC176E"/>
    <w:rsid w:val="00EE2B6D"/>
    <w:rsid w:val="00F050F6"/>
    <w:rsid w:val="00F115D2"/>
    <w:rsid w:val="00F75AEC"/>
    <w:rsid w:val="00F75C65"/>
    <w:rsid w:val="00F818D0"/>
    <w:rsid w:val="00F94047"/>
    <w:rsid w:val="00FA2B57"/>
    <w:rsid w:val="00FB2972"/>
    <w:rsid w:val="00FC10E7"/>
    <w:rsid w:val="00FC5AC8"/>
    <w:rsid w:val="00FC7604"/>
    <w:rsid w:val="00FD1972"/>
    <w:rsid w:val="00FE69C2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24FCF1"/>
  <w15:chartTrackingRefBased/>
  <w15:docId w15:val="{59E25574-1592-6C49-9833-2F0D6FB8D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09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19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025"/>
    <w:pPr>
      <w:spacing w:after="120" w:line="276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9A109F"/>
    <w:rPr>
      <w:color w:val="0000FF"/>
      <w:u w:val="single"/>
    </w:rPr>
  </w:style>
  <w:style w:type="paragraph" w:customStyle="1" w:styleId="AbstractSummary">
    <w:name w:val="Abstract/Summary"/>
    <w:basedOn w:val="Normal"/>
    <w:rsid w:val="009A109F"/>
    <w:pPr>
      <w:spacing w:before="120"/>
    </w:pPr>
    <w:rPr>
      <w:rFonts w:eastAsia="Times New Roman"/>
      <w:sz w:val="24"/>
      <w:szCs w:val="24"/>
    </w:rPr>
  </w:style>
  <w:style w:type="paragraph" w:customStyle="1" w:styleId="Paragraph">
    <w:name w:val="Paragraph"/>
    <w:basedOn w:val="Normal"/>
    <w:rsid w:val="009A109F"/>
    <w:pPr>
      <w:spacing w:before="120"/>
      <w:ind w:firstLine="720"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9A109F"/>
    <w:pPr>
      <w:spacing w:before="100" w:beforeAutospacing="1" w:after="100" w:afterAutospacing="1"/>
    </w:pPr>
    <w:rPr>
      <w:rFonts w:eastAsia="Times New Roman"/>
      <w:sz w:val="24"/>
      <w:szCs w:val="24"/>
      <w:lang w:eastAsia="zh-CN"/>
    </w:rPr>
  </w:style>
  <w:style w:type="paragraph" w:customStyle="1" w:styleId="SMHeading">
    <w:name w:val="SM Heading"/>
    <w:basedOn w:val="Heading1"/>
    <w:qFormat/>
    <w:rsid w:val="00D519B7"/>
    <w:pPr>
      <w:keepLines w:val="0"/>
      <w:spacing w:after="60"/>
    </w:pPr>
    <w:rPr>
      <w:rFonts w:ascii="Times New Roman" w:eastAsiaTheme="minorEastAsia" w:hAnsi="Times New Roman" w:cs="Times New Roman"/>
      <w:b/>
      <w:bCs/>
      <w:color w:val="auto"/>
      <w:kern w:val="32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519B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06A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06A5E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206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2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26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4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7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9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3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25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85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8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65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4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4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6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4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6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1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2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4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Xinbo</dc:creator>
  <cp:keywords/>
  <dc:description/>
  <cp:lastModifiedBy>Xinbo</cp:lastModifiedBy>
  <cp:revision>43</cp:revision>
  <dcterms:created xsi:type="dcterms:W3CDTF">2022-08-09T19:17:00Z</dcterms:created>
  <dcterms:modified xsi:type="dcterms:W3CDTF">2022-08-12T14:16:00Z</dcterms:modified>
</cp:coreProperties>
</file>