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21ED" w14:textId="27711CB1" w:rsidR="005C7501" w:rsidRDefault="000134BC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Workflow</w:t>
      </w:r>
      <w:r w:rsidR="005C750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for proteomic analysis of </w:t>
      </w:r>
      <w:r w:rsidR="005C7501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purified lysosomes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with or without damage</w:t>
      </w:r>
    </w:p>
    <w:p w14:paraId="7A5CFACA" w14:textId="5C0E060D" w:rsidR="005C7501" w:rsidRDefault="005C7501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</w:p>
    <w:p w14:paraId="210B0581" w14:textId="3C9ABDAB" w:rsidR="005C7501" w:rsidRDefault="005C7501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Sharan Swarup</w:t>
      </w:r>
      <w:r w:rsidRPr="005C7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and J. Wade Harper</w:t>
      </w:r>
      <w:r w:rsidRPr="005C7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</w:p>
    <w:p w14:paraId="7D8D6F01" w14:textId="0A1B9941" w:rsidR="005C7501" w:rsidRDefault="005C7501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5C750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Department of Cell Biology</w:t>
      </w:r>
    </w:p>
    <w:p w14:paraId="37AC053D" w14:textId="77777777" w:rsidR="005C7501" w:rsidRDefault="005C7501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Harvard Medical School</w:t>
      </w:r>
    </w:p>
    <w:p w14:paraId="66C0B639" w14:textId="77777777" w:rsidR="005C7501" w:rsidRDefault="005C7501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Boston MA 02115</w:t>
      </w:r>
    </w:p>
    <w:p w14:paraId="1958E5B6" w14:textId="48044465" w:rsidR="005C7501" w:rsidRDefault="005C7501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F3F98AD" w14:textId="7F6679BB" w:rsidR="00E62B24" w:rsidRPr="00E62B24" w:rsidRDefault="00E62B24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E62B24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Abstract</w:t>
      </w:r>
    </w:p>
    <w:p w14:paraId="49E8DB6A" w14:textId="60C67F67" w:rsidR="00E62B24" w:rsidRPr="00E62B24" w:rsidRDefault="00E62B24" w:rsidP="00E62B24">
      <w:pPr>
        <w:rPr>
          <w:rFonts w:ascii="Arial" w:hAnsi="Arial" w:cs="Arial"/>
          <w:color w:val="0432FF"/>
          <w:sz w:val="22"/>
          <w:szCs w:val="22"/>
        </w:rPr>
      </w:pPr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Lysosomes are a major degradative organelle within eukaryotic cells. Previous work has developed a method wherein the TMEM192 protein is tagged on its C-terminus with an epitope tag in order to </w:t>
      </w:r>
      <w:proofErr w:type="spellStart"/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>immunopurify</w:t>
      </w:r>
      <w:proofErr w:type="spellEnd"/>
      <w:r w:rsid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(IP)</w:t>
      </w:r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lysosomes from cell extracts.</w:t>
      </w:r>
      <w:r w:rsidRPr="00E62B24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1</w:t>
      </w:r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This process is referred to as </w:t>
      </w:r>
      <w:proofErr w:type="spellStart"/>
      <w:r w:rsidR="00953299">
        <w:rPr>
          <w:rFonts w:ascii="Arial" w:eastAsia="Times New Roman" w:hAnsi="Arial" w:cs="Arial"/>
          <w:color w:val="000000" w:themeColor="text1"/>
          <w:sz w:val="22"/>
          <w:szCs w:val="22"/>
        </w:rPr>
        <w:t>Lyso</w:t>
      </w:r>
      <w:proofErr w:type="spellEnd"/>
      <w:r w:rsid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-IP. </w:t>
      </w:r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>Such lysosomes can be used for proteomic analysis or for metabolomic analysis. A detailed protocol has been described by Dong et al (2021)</w:t>
      </w:r>
      <w:r w:rsidRPr="00E62B24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2</w:t>
      </w:r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for the isolation of lysosomes (</w:t>
      </w:r>
      <w:hyperlink r:id="rId5" w:history="1">
        <w:r w:rsidRPr="00E62B24">
          <w:rPr>
            <w:rStyle w:val="Hyperlink"/>
            <w:rFonts w:ascii="Arial" w:hAnsi="Arial" w:cs="Arial"/>
            <w:sz w:val="22"/>
            <w:szCs w:val="22"/>
          </w:rPr>
          <w:t>https://protocols.io/view/sample-preparation-protocol-for-lipidomics-harvest-br9ym97w</w:t>
        </w:r>
      </w:hyperlink>
      <w:r w:rsidRPr="00E62B2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), with an emphasis on downstream analysis by metabolomics. Here we describe processing steps using proteomics after lysosome purification in the context of lysosomal damaging agents. </w:t>
      </w:r>
      <w:r w:rsid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Agents such as </w:t>
      </w:r>
      <w:r w:rsidR="00953299" w:rsidRPr="00E62B24">
        <w:rPr>
          <w:rFonts w:ascii="Calibri" w:hAnsi="Calibri" w:cs="Calibri"/>
          <w:sz w:val="22"/>
          <w:szCs w:val="22"/>
        </w:rPr>
        <w:t>L-Leucyl-L-Leucine methyl ester (hydrochloride) (</w:t>
      </w:r>
      <w:proofErr w:type="spellStart"/>
      <w:r w:rsidR="00953299" w:rsidRPr="00E62B24">
        <w:rPr>
          <w:rFonts w:ascii="Calibri" w:hAnsi="Calibri" w:cs="Calibri"/>
          <w:sz w:val="22"/>
          <w:szCs w:val="22"/>
        </w:rPr>
        <w:t>LLoMe</w:t>
      </w:r>
      <w:proofErr w:type="spellEnd"/>
      <w:r w:rsidR="00953299" w:rsidRPr="00E62B24">
        <w:rPr>
          <w:rFonts w:ascii="Calibri" w:hAnsi="Calibri" w:cs="Calibri"/>
          <w:sz w:val="22"/>
          <w:szCs w:val="22"/>
        </w:rPr>
        <w:t>)</w:t>
      </w:r>
      <w:r w:rsidR="0095329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953299" w:rsidRPr="00E62B24">
        <w:rPr>
          <w:rFonts w:ascii="Calibri" w:hAnsi="Calibri" w:cs="Calibri"/>
          <w:sz w:val="22"/>
          <w:szCs w:val="22"/>
        </w:rPr>
        <w:t>Gly-Phe</w:t>
      </w:r>
      <w:proofErr w:type="spellEnd"/>
      <w:r w:rsidR="00953299" w:rsidRPr="00E62B24">
        <w:rPr>
          <w:rFonts w:ascii="Calibri" w:hAnsi="Calibri" w:cs="Calibri"/>
          <w:sz w:val="22"/>
          <w:szCs w:val="22"/>
        </w:rPr>
        <w:t>-β-naphthylamide (GPN)</w:t>
      </w:r>
      <w:r w:rsidR="00953299">
        <w:rPr>
          <w:rFonts w:ascii="Calibri" w:hAnsi="Calibri" w:cs="Calibri"/>
          <w:sz w:val="22"/>
          <w:szCs w:val="22"/>
        </w:rPr>
        <w:t xml:space="preserve"> induce lysosomal damage, leading to the degradation of damaged lysosomes by </w:t>
      </w:r>
      <w:proofErr w:type="spellStart"/>
      <w:r w:rsidR="00953299">
        <w:rPr>
          <w:rFonts w:ascii="Calibri" w:hAnsi="Calibri" w:cs="Calibri"/>
          <w:sz w:val="22"/>
          <w:szCs w:val="22"/>
        </w:rPr>
        <w:t>lysophagy</w:t>
      </w:r>
      <w:proofErr w:type="spellEnd"/>
      <w:r w:rsidR="00953299">
        <w:rPr>
          <w:rFonts w:ascii="Calibri" w:hAnsi="Calibri" w:cs="Calibri"/>
          <w:sz w:val="22"/>
          <w:szCs w:val="22"/>
        </w:rPr>
        <w:t xml:space="preserve">. This adaptation of </w:t>
      </w:r>
      <w:proofErr w:type="spellStart"/>
      <w:r w:rsidR="00953299">
        <w:rPr>
          <w:rFonts w:ascii="Calibri" w:hAnsi="Calibri" w:cs="Calibri"/>
          <w:sz w:val="22"/>
          <w:szCs w:val="22"/>
        </w:rPr>
        <w:t>Lyso</w:t>
      </w:r>
      <w:proofErr w:type="spellEnd"/>
      <w:r w:rsidR="00953299">
        <w:rPr>
          <w:rFonts w:ascii="Calibri" w:hAnsi="Calibri" w:cs="Calibri"/>
          <w:sz w:val="22"/>
          <w:szCs w:val="22"/>
        </w:rPr>
        <w:t>-IP provides a route to identify proteins that are recruited to damaged lysosomes using quantitative proteomics.</w:t>
      </w:r>
    </w:p>
    <w:p w14:paraId="384B4509" w14:textId="3AA43C18" w:rsidR="00E62B24" w:rsidRPr="00E62B24" w:rsidRDefault="00E62B24" w:rsidP="00E62B24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49A225AE" w14:textId="6C8C708E" w:rsidR="00E62B24" w:rsidRPr="00E62B24" w:rsidRDefault="00E62B24" w:rsidP="00E62B24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62C6EA73" w14:textId="041D2927" w:rsidR="00E62B24" w:rsidRPr="00E62B24" w:rsidRDefault="00E62B24" w:rsidP="00E62B24">
      <w:pPr>
        <w:rPr>
          <w:rFonts w:ascii="Arial" w:eastAsia="Times New Roman" w:hAnsi="Arial" w:cs="Arial"/>
          <w:color w:val="FF0000"/>
          <w:sz w:val="22"/>
          <w:szCs w:val="22"/>
        </w:rPr>
      </w:pPr>
    </w:p>
    <w:tbl>
      <w:tblPr>
        <w:tblStyle w:val="TableGrid"/>
        <w:tblW w:w="9558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2250"/>
        <w:gridCol w:w="2088"/>
      </w:tblGrid>
      <w:tr w:rsidR="00E62B24" w:rsidRPr="003C67F3" w14:paraId="715E29BF" w14:textId="77777777" w:rsidTr="003B3770">
        <w:trPr>
          <w:cantSplit/>
          <w:trHeight w:hRule="exact" w:val="288"/>
        </w:trPr>
        <w:tc>
          <w:tcPr>
            <w:tcW w:w="52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671E0C" w14:textId="77777777" w:rsidR="00E62B24" w:rsidRPr="0019678E" w:rsidRDefault="00E62B24" w:rsidP="003B3770">
            <w:pPr>
              <w:rPr>
                <w:b/>
              </w:rPr>
            </w:pPr>
            <w:r w:rsidRPr="0019678E">
              <w:rPr>
                <w:b/>
              </w:rPr>
              <w:t>REAGENT or RESOURCE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F87245" w14:textId="77777777" w:rsidR="00E62B24" w:rsidRPr="0019678E" w:rsidRDefault="00E62B24" w:rsidP="003B3770">
            <w:pPr>
              <w:rPr>
                <w:b/>
              </w:rPr>
            </w:pPr>
            <w:r w:rsidRPr="0019678E">
              <w:rPr>
                <w:b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44BEF3" w14:textId="77777777" w:rsidR="00E62B24" w:rsidRPr="0019678E" w:rsidRDefault="00E62B24" w:rsidP="003B3770">
            <w:pPr>
              <w:rPr>
                <w:b/>
              </w:rPr>
            </w:pPr>
            <w:r w:rsidRPr="0019678E">
              <w:rPr>
                <w:b/>
              </w:rPr>
              <w:t>IDENTIFIER</w:t>
            </w:r>
          </w:p>
        </w:tc>
      </w:tr>
      <w:tr w:rsidR="00E62B24" w:rsidRPr="003C67F3" w14:paraId="08B468F1" w14:textId="77777777" w:rsidTr="003B3770">
        <w:trPr>
          <w:cantSplit/>
          <w:trHeight w:val="259"/>
        </w:trPr>
        <w:tc>
          <w:tcPr>
            <w:tcW w:w="955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2E43AE7" w14:textId="77777777" w:rsidR="00E62B24" w:rsidRPr="0019678E" w:rsidRDefault="00E62B24" w:rsidP="003B3770">
            <w:pPr>
              <w:rPr>
                <w:b/>
              </w:rPr>
            </w:pPr>
            <w:r w:rsidRPr="0019678E">
              <w:rPr>
                <w:b/>
              </w:rPr>
              <w:t>Chemicals, Peptides, and Recombinant Proteins</w:t>
            </w:r>
          </w:p>
        </w:tc>
      </w:tr>
      <w:tr w:rsidR="00E62B24" w:rsidRPr="003C67F3" w14:paraId="01DD87AC" w14:textId="77777777" w:rsidTr="003B3770">
        <w:trPr>
          <w:cantSplit/>
          <w:trHeight w:val="285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0C2AA1CD" w14:textId="43E0D074" w:rsidR="00E62B24" w:rsidRPr="00E62B24" w:rsidRDefault="00E62B24" w:rsidP="003B3770">
            <w:pPr>
              <w:rPr>
                <w:rFonts w:ascii="Calibri" w:hAnsi="Calibri" w:cs="Calibri"/>
              </w:rPr>
            </w:pPr>
            <w:r w:rsidRPr="00E62B24">
              <w:rPr>
                <w:rFonts w:ascii="Calibri" w:hAnsi="Calibri" w:cs="Calibri"/>
              </w:rPr>
              <w:t>L-Leucyl-L-Leucine methyl ester (hydrochloride) (</w:t>
            </w:r>
            <w:proofErr w:type="spellStart"/>
            <w:r w:rsidRPr="00E62B24">
              <w:rPr>
                <w:rFonts w:ascii="Calibri" w:hAnsi="Calibri" w:cs="Calibri"/>
              </w:rPr>
              <w:t>LLoMe</w:t>
            </w:r>
            <w:proofErr w:type="spellEnd"/>
            <w:r w:rsidRPr="00E62B24">
              <w:rPr>
                <w:rFonts w:ascii="Calibri" w:hAnsi="Calibri" w:cs="Calibri"/>
              </w:rPr>
              <w:t>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A8DDB13" w14:textId="5FA519BA" w:rsidR="00E62B24" w:rsidRPr="003C67F3" w:rsidRDefault="00E62B24" w:rsidP="003B3770">
            <w:r>
              <w:t>Cayman Chemicals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F1A5FE5" w14:textId="7C8A574D" w:rsidR="00E62B24" w:rsidRPr="00C05FEC" w:rsidRDefault="00E62B24" w:rsidP="003B377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color w:val="4D4D4D"/>
                <w:sz w:val="17"/>
                <w:szCs w:val="17"/>
                <w:shd w:val="clear" w:color="auto" w:fill="FFFFFF"/>
              </w:rPr>
              <w:t>16008</w:t>
            </w:r>
          </w:p>
        </w:tc>
      </w:tr>
      <w:tr w:rsidR="00E62B24" w:rsidRPr="003C67F3" w14:paraId="1E18569A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2AAA7CCB" w14:textId="77777777" w:rsidR="00E62B24" w:rsidRDefault="00E62B24" w:rsidP="003B3770">
            <w:r>
              <w:t>PBS (10x)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9825123" w14:textId="77777777" w:rsidR="00E62B24" w:rsidRPr="003C67F3" w:rsidRDefault="00E62B24" w:rsidP="003B3770">
            <w:r>
              <w:t>Santa Cruz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76F90F1" w14:textId="77777777" w:rsidR="00E62B24" w:rsidRPr="009118C2" w:rsidRDefault="00E62B24" w:rsidP="003B3770">
            <w:r w:rsidRPr="00C05FEC">
              <w:rPr>
                <w:szCs w:val="24"/>
              </w:rPr>
              <w:t>sc-24947</w:t>
            </w:r>
          </w:p>
        </w:tc>
      </w:tr>
      <w:tr w:rsidR="00E62B24" w:rsidRPr="003C67F3" w14:paraId="67FB0062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1B779112" w14:textId="7726DAFC" w:rsidR="00E62B24" w:rsidRPr="00E62B24" w:rsidRDefault="00E62B24" w:rsidP="00E62B24">
            <w:pPr>
              <w:rPr>
                <w:rFonts w:ascii="Calibri" w:hAnsi="Calibri" w:cs="Calibri"/>
              </w:rPr>
            </w:pPr>
            <w:proofErr w:type="spellStart"/>
            <w:r w:rsidRPr="00E62B24">
              <w:rPr>
                <w:rFonts w:ascii="Calibri" w:hAnsi="Calibri" w:cs="Calibri"/>
              </w:rPr>
              <w:t>Gly-Phe</w:t>
            </w:r>
            <w:proofErr w:type="spellEnd"/>
            <w:r w:rsidRPr="00E62B24">
              <w:rPr>
                <w:rFonts w:ascii="Calibri" w:hAnsi="Calibri" w:cs="Calibri"/>
              </w:rPr>
              <w:t>-β-naphthylamide (GPN)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5052C1D" w14:textId="6007A0FB" w:rsidR="00E62B24" w:rsidRDefault="00E62B24" w:rsidP="00E62B24">
            <w:r>
              <w:t>Cayman Chemicals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27A46CD" w14:textId="0590B396" w:rsidR="00E62B24" w:rsidRPr="00C05FEC" w:rsidRDefault="00E62B24" w:rsidP="00E62B24">
            <w:r>
              <w:t>14634</w:t>
            </w:r>
          </w:p>
        </w:tc>
      </w:tr>
      <w:tr w:rsidR="00E62B24" w:rsidRPr="003C67F3" w14:paraId="36EA9B3F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26BF1EC0" w14:textId="77777777" w:rsidR="00E62B24" w:rsidRDefault="00E62B24" w:rsidP="00E62B24">
            <w:r>
              <w:t>TCEP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0D0B6633" w14:textId="77777777" w:rsidR="00E62B24" w:rsidRPr="003C67F3" w:rsidRDefault="00E62B24" w:rsidP="00E62B24">
            <w:r w:rsidRPr="00377346">
              <w:t>Gold Biotechnology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95C59B8" w14:textId="77777777" w:rsidR="00E62B24" w:rsidRPr="003C67F3" w:rsidRDefault="00E62B24" w:rsidP="00E62B24">
            <w:r w:rsidRPr="00377346">
              <w:t>TCEP2</w:t>
            </w:r>
          </w:p>
        </w:tc>
      </w:tr>
      <w:tr w:rsidR="00E62B24" w:rsidRPr="003C67F3" w14:paraId="16FA4347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61528A97" w14:textId="5D609E77" w:rsidR="00E62B24" w:rsidRDefault="00E62B24" w:rsidP="00E62B24">
            <w:r>
              <w:t>Formic Acid</w:t>
            </w:r>
            <w:r w:rsidR="00953299">
              <w:t xml:space="preserve"> (FA)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69BA05E" w14:textId="77777777" w:rsidR="00E62B24" w:rsidRPr="003C67F3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B640401" w14:textId="77777777" w:rsidR="00E62B24" w:rsidRPr="003C67F3" w:rsidRDefault="00E62B24" w:rsidP="00E62B24">
            <w:r w:rsidRPr="00377346">
              <w:t>94318</w:t>
            </w:r>
          </w:p>
        </w:tc>
      </w:tr>
      <w:tr w:rsidR="00E62B24" w:rsidRPr="003C67F3" w14:paraId="3FC8BD32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19F3B504" w14:textId="77777777" w:rsidR="00E62B24" w:rsidRDefault="00E62B24" w:rsidP="00E62B24">
            <w:r>
              <w:t>Urea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574131A" w14:textId="77777777" w:rsidR="00E62B24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10D8C36" w14:textId="77777777" w:rsidR="00E62B24" w:rsidRDefault="00E62B24" w:rsidP="00E62B24">
            <w:r w:rsidRPr="00D66C4C">
              <w:t>U5378</w:t>
            </w:r>
          </w:p>
        </w:tc>
      </w:tr>
      <w:tr w:rsidR="00E62B24" w:rsidRPr="003C67F3" w14:paraId="40B78F25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130F0F3E" w14:textId="6803D397" w:rsidR="00E62B24" w:rsidRDefault="00E62B24" w:rsidP="00E62B24">
            <w:r>
              <w:t>Acetonitrile</w:t>
            </w:r>
            <w:r w:rsidR="00953299">
              <w:t xml:space="preserve"> (ACN)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43C87C77" w14:textId="77777777" w:rsidR="00E62B24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D5BAAE2" w14:textId="77777777" w:rsidR="00E62B24" w:rsidRDefault="00E62B24" w:rsidP="00E62B24">
            <w:r w:rsidRPr="00D66C4C">
              <w:t>34851</w:t>
            </w:r>
          </w:p>
        </w:tc>
      </w:tr>
      <w:tr w:rsidR="00E62B24" w:rsidRPr="003C67F3" w14:paraId="71358948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5CFB5FC6" w14:textId="77777777" w:rsidR="00E62B24" w:rsidRDefault="00E62B24" w:rsidP="00E62B24">
            <w:r>
              <w:t>Sodium Chloride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29606E6" w14:textId="77777777" w:rsidR="00E62B24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0936279" w14:textId="77777777" w:rsidR="00E62B24" w:rsidRDefault="00E62B24" w:rsidP="00E62B24">
            <w:r w:rsidRPr="00D66C4C">
              <w:t>S9888</w:t>
            </w:r>
          </w:p>
        </w:tc>
      </w:tr>
      <w:tr w:rsidR="00E62B24" w:rsidRPr="003C67F3" w14:paraId="77329983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2DE07A61" w14:textId="77777777" w:rsidR="00E62B24" w:rsidRDefault="00E62B24" w:rsidP="00E62B24">
            <w:r>
              <w:t>MOPS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7C3B262" w14:textId="77777777" w:rsidR="00E62B24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99F1698" w14:textId="77777777" w:rsidR="00E62B24" w:rsidRDefault="00E62B24" w:rsidP="00E62B24">
            <w:r w:rsidRPr="0097744F">
              <w:t>M1254</w:t>
            </w:r>
          </w:p>
        </w:tc>
      </w:tr>
      <w:tr w:rsidR="00E62B24" w:rsidRPr="003C67F3" w14:paraId="358BD183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6B381DB0" w14:textId="77777777" w:rsidR="00E62B24" w:rsidRDefault="00E62B24" w:rsidP="00E62B24">
            <w:r>
              <w:t>Trypsin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2D7E6BE" w14:textId="77777777" w:rsidR="00E62B24" w:rsidRPr="003C67F3" w:rsidRDefault="00E62B24" w:rsidP="00E62B24">
            <w:r>
              <w:t>Promega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FBBDFF7" w14:textId="77777777" w:rsidR="00E62B24" w:rsidRPr="003C67F3" w:rsidRDefault="00E62B24" w:rsidP="00E62B24">
            <w:r>
              <w:t>Custom order</w:t>
            </w:r>
          </w:p>
        </w:tc>
      </w:tr>
      <w:tr w:rsidR="00E62B24" w:rsidRPr="003C67F3" w14:paraId="75D84ACC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4FF14CB4" w14:textId="77777777" w:rsidR="00E62B24" w:rsidRDefault="00E62B24" w:rsidP="00E62B24">
            <w:r>
              <w:t>Lys-C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718857B" w14:textId="77777777" w:rsidR="00E62B24" w:rsidRPr="003C67F3" w:rsidRDefault="00E62B24" w:rsidP="00E62B24">
            <w:r>
              <w:t>Wako Chemicals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2C5B5B3" w14:textId="77777777" w:rsidR="00E62B24" w:rsidRPr="003C67F3" w:rsidRDefault="00E62B24" w:rsidP="00E62B24">
            <w:r w:rsidRPr="00404304">
              <w:t>129-02541</w:t>
            </w:r>
          </w:p>
        </w:tc>
      </w:tr>
      <w:tr w:rsidR="00E62B24" w:rsidRPr="003C67F3" w14:paraId="73A80092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05BA6BDA" w14:textId="77777777" w:rsidR="00E62B24" w:rsidRPr="006F488B" w:rsidRDefault="00E62B24" w:rsidP="00E62B24">
            <w:r w:rsidRPr="00420CDF">
              <w:t>EPPS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5BC8386D" w14:textId="77777777" w:rsidR="00E62B24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B298A36" w14:textId="77777777" w:rsidR="00E62B24" w:rsidRPr="006F488B" w:rsidRDefault="00E62B24" w:rsidP="00E62B24">
            <w:r w:rsidRPr="00420CDF">
              <w:t>E9502</w:t>
            </w:r>
          </w:p>
        </w:tc>
      </w:tr>
      <w:tr w:rsidR="00E62B24" w:rsidRPr="003C67F3" w14:paraId="23B9172A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0F2AE1C5" w14:textId="77777777" w:rsidR="00E62B24" w:rsidRDefault="00E62B24" w:rsidP="00E62B24">
            <w:r w:rsidRPr="006F488B">
              <w:t>2-Chloroacetamide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7B23F870" w14:textId="77777777" w:rsidR="00E62B24" w:rsidRPr="003C67F3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DFED188" w14:textId="77777777" w:rsidR="00E62B24" w:rsidRPr="003C67F3" w:rsidRDefault="00E62B24" w:rsidP="00E62B24">
            <w:r w:rsidRPr="006F488B">
              <w:t>C0267</w:t>
            </w:r>
          </w:p>
        </w:tc>
      </w:tr>
      <w:tr w:rsidR="00E62B24" w:rsidRPr="003C67F3" w14:paraId="682965EB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4812E4A9" w14:textId="77777777" w:rsidR="00E62B24" w:rsidRDefault="00E62B24" w:rsidP="00E62B24">
            <w:r>
              <w:t>Sodium metaborate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17DB0356" w14:textId="77777777" w:rsidR="00E62B24" w:rsidRDefault="00E62B24" w:rsidP="00E62B24">
            <w:r>
              <w:t>Sigma-Aldrich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81BA8D9" w14:textId="77777777" w:rsidR="00E62B24" w:rsidRDefault="00E62B24" w:rsidP="00E62B24">
            <w:r w:rsidRPr="0097744F">
              <w:t>S0251</w:t>
            </w:r>
          </w:p>
        </w:tc>
      </w:tr>
      <w:tr w:rsidR="00E62B24" w:rsidRPr="003C67F3" w14:paraId="5BA7EB6E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12" w:space="0" w:color="000000"/>
            </w:tcBorders>
            <w:shd w:val="clear" w:color="auto" w:fill="auto"/>
          </w:tcPr>
          <w:p w14:paraId="1737E774" w14:textId="77777777" w:rsidR="00E62B24" w:rsidRPr="004252A9" w:rsidRDefault="00E62B24" w:rsidP="00E62B24">
            <w:pPr>
              <w:ind w:left="-5"/>
            </w:pPr>
            <w:r>
              <w:t xml:space="preserve">Dimethyl </w:t>
            </w:r>
            <w:proofErr w:type="spellStart"/>
            <w:r>
              <w:t>pimelimidate</w:t>
            </w:r>
            <w:proofErr w:type="spellEnd"/>
            <w:r>
              <w:t xml:space="preserve"> dihydrochloride (DMP)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auto"/>
          </w:tcPr>
          <w:p w14:paraId="56B70303" w14:textId="3CCB8F53" w:rsidR="00E62B24" w:rsidRDefault="00E62B24" w:rsidP="00E62B24">
            <w:r>
              <w:t>Sigma-Aldrich,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5FB7AEF" w14:textId="77777777" w:rsidR="00E62B24" w:rsidRDefault="00E62B24" w:rsidP="00E62B24">
            <w:r>
              <w:t>D8388</w:t>
            </w:r>
          </w:p>
        </w:tc>
      </w:tr>
      <w:tr w:rsidR="00E62B24" w:rsidRPr="003C67F3" w14:paraId="13D64D80" w14:textId="77777777" w:rsidTr="003B3770">
        <w:trPr>
          <w:cantSplit/>
          <w:trHeight w:val="259"/>
        </w:trPr>
        <w:tc>
          <w:tcPr>
            <w:tcW w:w="955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FFB52C" w14:textId="77777777" w:rsidR="00E62B24" w:rsidRPr="00C05FEC" w:rsidRDefault="00E62B24" w:rsidP="00E62B24">
            <w:r w:rsidRPr="00C05FEC">
              <w:t>Critical Commercial Assays</w:t>
            </w:r>
          </w:p>
        </w:tc>
      </w:tr>
      <w:tr w:rsidR="00E62B24" w:rsidRPr="003C67F3" w14:paraId="44323152" w14:textId="77777777" w:rsidTr="003B3770">
        <w:trPr>
          <w:cantSplit/>
          <w:trHeight w:val="259"/>
        </w:trPr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F67EC49" w14:textId="77777777" w:rsidR="00E62B24" w:rsidRPr="0091206E" w:rsidRDefault="00E62B24" w:rsidP="00E62B24">
            <w:r w:rsidRPr="00FA3EA2">
              <w:t>Pierce™ High pH Reversed-Phase Peptide</w:t>
            </w:r>
            <w:r>
              <w:t xml:space="preserve"> </w:t>
            </w:r>
            <w:r w:rsidRPr="00FA3EA2">
              <w:t>Fractionation Kit</w:t>
            </w:r>
          </w:p>
        </w:tc>
        <w:tc>
          <w:tcPr>
            <w:tcW w:w="2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0E07C9D" w14:textId="77777777" w:rsidR="00E62B24" w:rsidRDefault="00E62B24" w:rsidP="00E62B24">
            <w:r>
              <w:t xml:space="preserve">Thermo Fisher </w:t>
            </w:r>
            <w:r w:rsidRPr="0091206E">
              <w:t>Scientific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F1999E7" w14:textId="77777777" w:rsidR="00E62B24" w:rsidRPr="0091206E" w:rsidRDefault="00E62B24" w:rsidP="00E62B24">
            <w:r w:rsidRPr="00FA3EA2">
              <w:t>84868</w:t>
            </w:r>
          </w:p>
        </w:tc>
      </w:tr>
      <w:tr w:rsidR="00E62B24" w:rsidRPr="003C67F3" w14:paraId="3F79A35B" w14:textId="77777777" w:rsidTr="003B3770">
        <w:trPr>
          <w:cantSplit/>
          <w:trHeight w:val="259"/>
        </w:trPr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9B011D" w14:textId="77777777" w:rsidR="00E62B24" w:rsidRDefault="00E62B24" w:rsidP="00E62B24">
            <w:r w:rsidRPr="0091206E">
              <w:t>Tandem Mass Tags</w:t>
            </w:r>
          </w:p>
        </w:tc>
        <w:tc>
          <w:tcPr>
            <w:tcW w:w="22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8685B5" w14:textId="77777777" w:rsidR="00E62B24" w:rsidRPr="003C67F3" w:rsidRDefault="00E62B24" w:rsidP="00E62B24">
            <w:r>
              <w:t xml:space="preserve">Thermo Fisher </w:t>
            </w:r>
            <w:r w:rsidRPr="0091206E">
              <w:t>Scientific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8C4583C" w14:textId="77777777" w:rsidR="00E62B24" w:rsidRPr="003C67F3" w:rsidRDefault="00E62B24" w:rsidP="00E62B24">
            <w:r w:rsidRPr="0091206E">
              <w:t>90406</w:t>
            </w:r>
          </w:p>
        </w:tc>
      </w:tr>
      <w:tr w:rsidR="00E62B24" w:rsidRPr="006A4FE8" w14:paraId="35E034B2" w14:textId="77777777" w:rsidTr="003B3770">
        <w:trPr>
          <w:cantSplit/>
          <w:trHeight w:val="259"/>
        </w:trPr>
        <w:tc>
          <w:tcPr>
            <w:tcW w:w="522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14:paraId="387C9E52" w14:textId="77777777" w:rsidR="00E62B24" w:rsidRPr="0091206E" w:rsidRDefault="00E62B24" w:rsidP="00E62B24">
            <w:r w:rsidRPr="006A4FE8">
              <w:t>Bio-Rad Protein Assay Dye Reagent Concentrate</w:t>
            </w:r>
          </w:p>
        </w:tc>
        <w:tc>
          <w:tcPr>
            <w:tcW w:w="2250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14:paraId="1FD2757A" w14:textId="77777777" w:rsidR="00E62B24" w:rsidRDefault="00E62B24" w:rsidP="00E62B24">
            <w:r>
              <w:t>Bio-Rad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14:paraId="67F179F2" w14:textId="77777777" w:rsidR="00E62B24" w:rsidRPr="0091206E" w:rsidRDefault="00E62B24" w:rsidP="00E62B24">
            <w:r w:rsidRPr="006A4FE8">
              <w:t>5000006</w:t>
            </w:r>
          </w:p>
        </w:tc>
      </w:tr>
      <w:tr w:rsidR="00E62B24" w:rsidRPr="0019678E" w14:paraId="77B26766" w14:textId="77777777" w:rsidTr="003B3770">
        <w:trPr>
          <w:cantSplit/>
          <w:trHeight w:val="259"/>
        </w:trPr>
        <w:tc>
          <w:tcPr>
            <w:tcW w:w="955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7E64359" w14:textId="77777777" w:rsidR="00E62B24" w:rsidRPr="009118C2" w:rsidRDefault="00E62B24" w:rsidP="00E62B24">
            <w:r w:rsidRPr="009118C2">
              <w:t>Other</w:t>
            </w:r>
          </w:p>
        </w:tc>
      </w:tr>
      <w:tr w:rsidR="00E62B24" w:rsidRPr="003C67F3" w14:paraId="2B1F7CF3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1235AB7E" w14:textId="77777777" w:rsidR="00E62B24" w:rsidRPr="0091206E" w:rsidRDefault="00E62B24" w:rsidP="00E62B24">
            <w:r w:rsidRPr="00FA3EA2">
              <w:lastRenderedPageBreak/>
              <w:t>Sep-Pak C18 1cc Vac Cartridge, 50 mg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3000C8EE" w14:textId="77777777" w:rsidR="00E62B24" w:rsidRDefault="00E62B24" w:rsidP="00E62B24">
            <w:r>
              <w:t>Waters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929293B" w14:textId="77777777" w:rsidR="00E62B24" w:rsidRPr="0091206E" w:rsidRDefault="00E62B24" w:rsidP="00E62B24">
            <w:r w:rsidRPr="009118C2">
              <w:t>WAT054955</w:t>
            </w:r>
          </w:p>
        </w:tc>
      </w:tr>
      <w:tr w:rsidR="00E62B24" w:rsidRPr="003C67F3" w14:paraId="45FAACFF" w14:textId="77777777" w:rsidTr="003B3770">
        <w:trPr>
          <w:cantSplit/>
          <w:trHeight w:val="259"/>
        </w:trPr>
        <w:tc>
          <w:tcPr>
            <w:tcW w:w="5220" w:type="dxa"/>
            <w:tcBorders>
              <w:bottom w:val="single" w:sz="2" w:space="0" w:color="000000"/>
            </w:tcBorders>
            <w:shd w:val="clear" w:color="auto" w:fill="auto"/>
          </w:tcPr>
          <w:p w14:paraId="720938D0" w14:textId="77777777" w:rsidR="00E62B24" w:rsidRPr="0091206E" w:rsidRDefault="00E62B24" w:rsidP="00E62B24">
            <w:proofErr w:type="spellStart"/>
            <w:r w:rsidRPr="00C03B6E">
              <w:t>Empore</w:t>
            </w:r>
            <w:proofErr w:type="spellEnd"/>
            <w:r w:rsidRPr="00C03B6E">
              <w:t>™ SPE Disks C18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</w:tcPr>
          <w:p w14:paraId="66D568CA" w14:textId="77777777" w:rsidR="00E62B24" w:rsidRDefault="00E62B24" w:rsidP="00E62B24">
            <w:r>
              <w:t xml:space="preserve">3M </w:t>
            </w:r>
            <w:r w:rsidRPr="00C03B6E">
              <w:t>B</w:t>
            </w:r>
            <w:r>
              <w:t>ioanalytical Technologies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421F682" w14:textId="77777777" w:rsidR="00E62B24" w:rsidRPr="0091206E" w:rsidRDefault="00E62B24" w:rsidP="00E62B24">
            <w:r w:rsidRPr="00C03B6E">
              <w:t>2215</w:t>
            </w:r>
          </w:p>
        </w:tc>
      </w:tr>
    </w:tbl>
    <w:p w14:paraId="6DC07BCE" w14:textId="0C5A8859" w:rsidR="00E62B24" w:rsidRPr="00E62B24" w:rsidRDefault="00E62B24" w:rsidP="00E62B24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3854D5ED" w14:textId="77777777" w:rsidR="00953299" w:rsidRPr="007E0C12" w:rsidRDefault="00953299" w:rsidP="00953299">
      <w:pPr>
        <w:spacing w:after="13" w:line="259" w:lineRule="auto"/>
        <w:rPr>
          <w:b/>
          <w:bCs/>
        </w:rPr>
      </w:pPr>
      <w:r w:rsidRPr="007E0C12">
        <w:rPr>
          <w:b/>
          <w:bCs/>
        </w:rPr>
        <w:t xml:space="preserve">BUFFERS: </w:t>
      </w:r>
    </w:p>
    <w:p w14:paraId="299FC48F" w14:textId="77777777" w:rsidR="00953299" w:rsidRDefault="00953299" w:rsidP="00953299">
      <w:pPr>
        <w:spacing w:line="259" w:lineRule="auto"/>
      </w:pPr>
      <w:r>
        <w:rPr>
          <w:rFonts w:ascii="Calibri" w:eastAsia="Calibri" w:hAnsi="Calibri" w:cs="Calibri"/>
          <w:sz w:val="21"/>
        </w:rPr>
        <w:t xml:space="preserve">1. Urea lysis buffer: </w:t>
      </w:r>
    </w:p>
    <w:tbl>
      <w:tblPr>
        <w:tblStyle w:val="TableGrid0"/>
        <w:tblW w:w="4488" w:type="dxa"/>
        <w:tblInd w:w="22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2251"/>
      </w:tblGrid>
      <w:tr w:rsidR="00953299" w14:paraId="0AA2F580" w14:textId="77777777" w:rsidTr="003B3770">
        <w:trPr>
          <w:trHeight w:val="283"/>
        </w:trPr>
        <w:tc>
          <w:tcPr>
            <w:tcW w:w="2237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71446528" w14:textId="77777777" w:rsidR="00953299" w:rsidRDefault="00953299" w:rsidP="003B3770">
            <w:pPr>
              <w:spacing w:line="259" w:lineRule="auto"/>
              <w:ind w:left="8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Compound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  <w:tc>
          <w:tcPr>
            <w:tcW w:w="2251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67E9AD1C" w14:textId="77777777" w:rsidR="00953299" w:rsidRDefault="00953299" w:rsidP="003B3770">
            <w:pPr>
              <w:spacing w:line="259" w:lineRule="auto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[Compound]</w:t>
            </w:r>
            <w:r>
              <w:rPr>
                <w:rFonts w:ascii="Calibri" w:eastAsia="Calibri" w:hAnsi="Calibri" w:cs="Calibri"/>
                <w:b/>
                <w:sz w:val="21"/>
                <w:vertAlign w:val="subscript"/>
              </w:rPr>
              <w:t>final</w:t>
            </w:r>
            <w:r>
              <w:rPr>
                <w:rFonts w:ascii="Calibri" w:eastAsia="Calibri" w:hAnsi="Calibri" w:cs="Calibri"/>
                <w:sz w:val="21"/>
              </w:rPr>
              <w:t xml:space="preserve"> </w:t>
            </w:r>
          </w:p>
        </w:tc>
      </w:tr>
      <w:tr w:rsidR="00953299" w14:paraId="0953F945" w14:textId="77777777" w:rsidTr="003B3770">
        <w:trPr>
          <w:trHeight w:val="278"/>
        </w:trPr>
        <w:tc>
          <w:tcPr>
            <w:tcW w:w="2237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28B0D950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Urea </w:t>
            </w:r>
          </w:p>
        </w:tc>
        <w:tc>
          <w:tcPr>
            <w:tcW w:w="2251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238D932D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8 M </w:t>
            </w:r>
          </w:p>
        </w:tc>
      </w:tr>
      <w:tr w:rsidR="00953299" w14:paraId="3431F7AC" w14:textId="77777777" w:rsidTr="003B3770">
        <w:trPr>
          <w:trHeight w:val="283"/>
        </w:trPr>
        <w:tc>
          <w:tcPr>
            <w:tcW w:w="2237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758E9053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NaCl </w:t>
            </w:r>
          </w:p>
        </w:tc>
        <w:tc>
          <w:tcPr>
            <w:tcW w:w="2251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7943AC32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75 mM </w:t>
            </w:r>
          </w:p>
        </w:tc>
      </w:tr>
      <w:tr w:rsidR="00953299" w14:paraId="21C5B22E" w14:textId="77777777" w:rsidTr="003B3770">
        <w:trPr>
          <w:trHeight w:val="283"/>
        </w:trPr>
        <w:tc>
          <w:tcPr>
            <w:tcW w:w="2237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7BF73E8C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EPPS pH 8.5 </w:t>
            </w:r>
          </w:p>
        </w:tc>
        <w:tc>
          <w:tcPr>
            <w:tcW w:w="2251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5727827C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50 mM </w:t>
            </w:r>
          </w:p>
        </w:tc>
      </w:tr>
      <w:tr w:rsidR="00953299" w14:paraId="5B0AB92D" w14:textId="77777777" w:rsidTr="003B3770">
        <w:trPr>
          <w:trHeight w:val="278"/>
        </w:trPr>
        <w:tc>
          <w:tcPr>
            <w:tcW w:w="2237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38514E1A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Protease Inhibitors </w:t>
            </w:r>
          </w:p>
        </w:tc>
        <w:tc>
          <w:tcPr>
            <w:tcW w:w="2251" w:type="dxa"/>
            <w:tcBorders>
              <w:top w:val="single" w:sz="10" w:space="0" w:color="919191"/>
              <w:left w:val="single" w:sz="10" w:space="0" w:color="919191"/>
              <w:bottom w:val="single" w:sz="10" w:space="0" w:color="919191"/>
              <w:right w:val="single" w:sz="10" w:space="0" w:color="919191"/>
            </w:tcBorders>
          </w:tcPr>
          <w:p w14:paraId="222E088C" w14:textId="77777777" w:rsidR="00953299" w:rsidRDefault="00953299" w:rsidP="003B3770">
            <w:pPr>
              <w:spacing w:line="259" w:lineRule="auto"/>
            </w:pPr>
            <w:r>
              <w:rPr>
                <w:rFonts w:ascii="Calibri" w:eastAsia="Calibri" w:hAnsi="Calibri" w:cs="Calibri"/>
                <w:sz w:val="21"/>
              </w:rPr>
              <w:t xml:space="preserve">1 x </w:t>
            </w:r>
          </w:p>
        </w:tc>
      </w:tr>
    </w:tbl>
    <w:p w14:paraId="724B3511" w14:textId="77777777" w:rsidR="00953299" w:rsidRDefault="00953299" w:rsidP="00E62B24">
      <w:pPr>
        <w:rPr>
          <w:b/>
          <w:bCs/>
        </w:rPr>
      </w:pPr>
    </w:p>
    <w:p w14:paraId="2AA01C48" w14:textId="3A127CD1" w:rsidR="00953299" w:rsidRPr="00953299" w:rsidRDefault="00953299" w:rsidP="00E62B24">
      <w:pPr>
        <w:rPr>
          <w:b/>
          <w:bCs/>
        </w:rPr>
      </w:pPr>
      <w:r w:rsidRPr="00953299">
        <w:rPr>
          <w:b/>
          <w:bCs/>
        </w:rPr>
        <w:t>Cell culture</w:t>
      </w:r>
    </w:p>
    <w:p w14:paraId="0482C524" w14:textId="4A3FB088" w:rsidR="00953299" w:rsidRDefault="00953299" w:rsidP="00E62B24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086425DB" w14:textId="382A73EB" w:rsidR="00953299" w:rsidRDefault="00953299" w:rsidP="00E62B2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1. 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>The appropriate cells (e.g. HEK293T) expressing TMEM192-3xHA, as described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1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are grown as described in </w:t>
      </w:r>
      <w:hyperlink r:id="rId6" w:history="1">
        <w:r w:rsidRPr="0095329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https://protocols.io/view/sample-preparation-protocol-for-lipidomics-harvest-br9ym97w</w:t>
        </w:r>
      </w:hyperlink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One 15 cm plate of cells (80% confluence) is used per replicate.</w:t>
      </w:r>
    </w:p>
    <w:p w14:paraId="4FADDEA7" w14:textId="7F6C9064" w:rsidR="00953299" w:rsidRPr="00953299" w:rsidRDefault="00953299" w:rsidP="00E62B2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2. To damage lysosomes, GPN (0.2 mM) or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</w:rPr>
        <w:t>LLoMe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(0.5-1.0 mM) is added to cells for 15 min</w:t>
      </w:r>
      <w:r w:rsidR="00F91596">
        <w:rPr>
          <w:rFonts w:ascii="Arial" w:eastAsia="Times New Roman" w:hAnsi="Arial" w:cs="Arial"/>
          <w:color w:val="000000" w:themeColor="text1"/>
          <w:sz w:val="22"/>
          <w:szCs w:val="22"/>
        </w:rPr>
        <w:t>utes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to 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r w:rsidR="00F200C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>h</w:t>
      </w:r>
      <w:r w:rsidR="00F200C1">
        <w:rPr>
          <w:rFonts w:ascii="Arial" w:eastAsia="Times New Roman" w:hAnsi="Arial" w:cs="Arial"/>
          <w:color w:val="000000" w:themeColor="text1"/>
          <w:sz w:val="22"/>
          <w:szCs w:val="22"/>
        </w:rPr>
        <w:t>our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The length of time employed depends on the desired level of lysosomal damage desired. </w:t>
      </w:r>
    </w:p>
    <w:p w14:paraId="5B9B3C36" w14:textId="5761C0EF" w:rsidR="00953299" w:rsidRPr="00953299" w:rsidRDefault="00953299" w:rsidP="00E62B2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C3383EA" w14:textId="09CA8AF4" w:rsidR="00953299" w:rsidRPr="00953299" w:rsidRDefault="00953299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proofErr w:type="spellStart"/>
      <w:r w:rsidRPr="0095329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Lyso</w:t>
      </w:r>
      <w:proofErr w:type="spellEnd"/>
      <w:r w:rsidRPr="0095329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-IP</w:t>
      </w:r>
    </w:p>
    <w:p w14:paraId="3A4159AE" w14:textId="0B35449A" w:rsidR="00953299" w:rsidRPr="00953299" w:rsidRDefault="00953299" w:rsidP="00E62B24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>1. Detailed steps for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cell lysis and</w:t>
      </w: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>Lyso</w:t>
      </w:r>
      <w:proofErr w:type="spellEnd"/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-IP are provided in </w:t>
      </w:r>
      <w:hyperlink r:id="rId7" w:history="1">
        <w:r w:rsidRPr="00953299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https://protocols.io/view/sample-preparation-protocol-for-lipidomics-harvest-br9ym97w</w:t>
        </w:r>
      </w:hyperlink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>. The protocol is followed through step 25, to yield purified lysosomes.</w:t>
      </w:r>
    </w:p>
    <w:p w14:paraId="3B8F9ED6" w14:textId="57587D4B" w:rsidR="00953299" w:rsidRPr="00953299" w:rsidRDefault="00953299" w:rsidP="009532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532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2. </w:t>
      </w:r>
      <w:r w:rsidRPr="00953299">
        <w:rPr>
          <w:rFonts w:ascii="Arial" w:hAnsi="Arial" w:cs="Arial"/>
          <w:sz w:val="22"/>
          <w:szCs w:val="22"/>
        </w:rPr>
        <w:t xml:space="preserve">Each sample was then eluted with 100μl KPBS containing 0.5% NP-40 in thermo mixer at </w:t>
      </w:r>
      <w:r w:rsidR="00F91596">
        <w:rPr>
          <w:rFonts w:ascii="Arial" w:hAnsi="Arial" w:cs="Arial"/>
          <w:sz w:val="22"/>
          <w:szCs w:val="22"/>
        </w:rPr>
        <w:t>4</w:t>
      </w:r>
      <w:r w:rsidRPr="00953299">
        <w:rPr>
          <w:rFonts w:ascii="Arial" w:hAnsi="Arial" w:cs="Arial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sz w:val="22"/>
          <w:szCs w:val="22"/>
        </w:rPr>
        <w:t xml:space="preserve">C for </w:t>
      </w:r>
      <w:r w:rsidR="00F91596">
        <w:rPr>
          <w:rFonts w:ascii="Arial" w:hAnsi="Arial" w:cs="Arial"/>
          <w:sz w:val="22"/>
          <w:szCs w:val="22"/>
        </w:rPr>
        <w:t>3</w:t>
      </w:r>
      <w:r w:rsidRPr="00953299">
        <w:rPr>
          <w:rFonts w:ascii="Arial" w:hAnsi="Arial" w:cs="Arial"/>
          <w:sz w:val="22"/>
          <w:szCs w:val="22"/>
        </w:rPr>
        <w:t>0 min</w:t>
      </w:r>
      <w:r w:rsidR="00F91596">
        <w:rPr>
          <w:rFonts w:ascii="Arial" w:hAnsi="Arial" w:cs="Arial"/>
          <w:sz w:val="22"/>
          <w:szCs w:val="22"/>
        </w:rPr>
        <w:t>utes</w:t>
      </w:r>
      <w:r w:rsidRPr="00953299">
        <w:rPr>
          <w:rFonts w:ascii="Arial" w:hAnsi="Arial" w:cs="Arial"/>
          <w:sz w:val="22"/>
          <w:szCs w:val="22"/>
        </w:rPr>
        <w:t>. Elutes were snap frozen in liquid nitrogen and stored in -80</w:t>
      </w:r>
      <w:r w:rsidRPr="00953299">
        <w:rPr>
          <w:rFonts w:ascii="Arial" w:hAnsi="Arial" w:cs="Arial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sz w:val="22"/>
          <w:szCs w:val="22"/>
        </w:rPr>
        <w:t>C until further processing</w:t>
      </w:r>
    </w:p>
    <w:p w14:paraId="10AEBA64" w14:textId="77777777" w:rsidR="00953299" w:rsidRPr="00953299" w:rsidRDefault="00953299" w:rsidP="00E62B24">
      <w:pPr>
        <w:rPr>
          <w:rFonts w:ascii="Arial" w:hAnsi="Arial" w:cs="Arial"/>
          <w:sz w:val="22"/>
          <w:szCs w:val="22"/>
        </w:rPr>
      </w:pPr>
    </w:p>
    <w:p w14:paraId="7A44F788" w14:textId="522C831C" w:rsidR="00953299" w:rsidRPr="00953299" w:rsidRDefault="00953299" w:rsidP="00E62B24">
      <w:pPr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95329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Trypsinization</w:t>
      </w:r>
    </w:p>
    <w:p w14:paraId="5DECEF70" w14:textId="239429C7" w:rsidR="00953299" w:rsidRPr="00953299" w:rsidRDefault="00953299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1. Reduce lysates for </w:t>
      </w:r>
      <w:r w:rsidR="00F91596">
        <w:rPr>
          <w:rFonts w:ascii="Arial" w:hAnsi="Arial" w:cs="Arial"/>
          <w:color w:val="000000" w:themeColor="text1"/>
          <w:sz w:val="22"/>
          <w:szCs w:val="22"/>
        </w:rPr>
        <w:t xml:space="preserve">30 minutes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F91596">
        <w:rPr>
          <w:rFonts w:ascii="Arial" w:hAnsi="Arial" w:cs="Arial"/>
          <w:color w:val="000000" w:themeColor="text1"/>
          <w:sz w:val="22"/>
          <w:szCs w:val="22"/>
        </w:rPr>
        <w:t>25</w:t>
      </w:r>
      <w:r w:rsidRPr="009532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C</w:t>
      </w:r>
      <w:r w:rsidR="00F91596">
        <w:rPr>
          <w:rFonts w:ascii="Arial" w:hAnsi="Arial" w:cs="Arial"/>
          <w:color w:val="000000" w:themeColor="text1"/>
          <w:sz w:val="22"/>
          <w:szCs w:val="22"/>
        </w:rPr>
        <w:t xml:space="preserve"> (room temperature)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with 5mM TCEP. </w:t>
      </w:r>
    </w:p>
    <w:p w14:paraId="60092992" w14:textId="7D4F86F0" w:rsidR="00953299" w:rsidRPr="00953299" w:rsidRDefault="00953299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53299">
        <w:rPr>
          <w:rFonts w:ascii="Arial" w:hAnsi="Arial" w:cs="Arial"/>
          <w:color w:val="000000" w:themeColor="text1"/>
          <w:sz w:val="22"/>
          <w:szCs w:val="22"/>
        </w:rPr>
        <w:t>2. Alkylate cysteine residues with 20mM Chloroacetamide</w:t>
      </w:r>
      <w:r w:rsidR="00F91596">
        <w:rPr>
          <w:rFonts w:ascii="Arial" w:hAnsi="Arial" w:cs="Arial"/>
          <w:color w:val="000000" w:themeColor="text1"/>
          <w:sz w:val="22"/>
          <w:szCs w:val="22"/>
        </w:rPr>
        <w:t xml:space="preserve"> for 30 minutes at room temperature.</w:t>
      </w:r>
    </w:p>
    <w:p w14:paraId="169DD1E2" w14:textId="65198971" w:rsidR="00272749" w:rsidRDefault="00953299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3. TCA was added to eluates </w:t>
      </w:r>
      <w:r w:rsidR="00F200C1">
        <w:rPr>
          <w:rFonts w:ascii="Arial" w:hAnsi="Arial" w:cs="Arial"/>
          <w:color w:val="000000" w:themeColor="text1"/>
          <w:sz w:val="22"/>
          <w:szCs w:val="22"/>
        </w:rPr>
        <w:t xml:space="preserve">to a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final concentration of 20% and placed on ice at 4</w:t>
      </w:r>
      <w:r w:rsidRPr="009532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C for at least </w:t>
      </w:r>
      <w:r w:rsidR="00F200C1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hour. Proteins were pelleted for 30 min</w:t>
      </w:r>
      <w:r w:rsidR="00F200C1">
        <w:rPr>
          <w:rFonts w:ascii="Arial" w:hAnsi="Arial" w:cs="Arial"/>
          <w:color w:val="000000" w:themeColor="text1"/>
          <w:sz w:val="22"/>
          <w:szCs w:val="22"/>
        </w:rPr>
        <w:t>utes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at maximum speed at 4</w:t>
      </w:r>
      <w:r w:rsidRPr="009532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C.</w:t>
      </w:r>
      <w:r w:rsidR="00F200C1">
        <w:rPr>
          <w:rFonts w:ascii="Arial" w:hAnsi="Arial" w:cs="Arial"/>
          <w:color w:val="000000" w:themeColor="text1"/>
          <w:sz w:val="22"/>
          <w:szCs w:val="22"/>
        </w:rPr>
        <w:t xml:space="preserve"> Aspirate supernatant carefully and leave ~30-40</w:t>
      </w:r>
      <w:r w:rsidR="005C7501" w:rsidRPr="00953299">
        <w:rPr>
          <w:rFonts w:ascii="Arial" w:hAnsi="Arial" w:cs="Arial"/>
          <w:sz w:val="22"/>
          <w:szCs w:val="22"/>
        </w:rPr>
        <w:t>μ</w:t>
      </w:r>
      <w:r w:rsidR="00F200C1">
        <w:rPr>
          <w:rFonts w:ascii="Arial" w:hAnsi="Arial" w:cs="Arial"/>
          <w:color w:val="000000" w:themeColor="text1"/>
          <w:sz w:val="22"/>
          <w:szCs w:val="22"/>
        </w:rPr>
        <w:t xml:space="preserve">L of solution </w:t>
      </w:r>
      <w:proofErr w:type="gramStart"/>
      <w:r w:rsidR="00F200C1">
        <w:rPr>
          <w:rFonts w:ascii="Arial" w:hAnsi="Arial" w:cs="Arial"/>
          <w:color w:val="000000" w:themeColor="text1"/>
          <w:sz w:val="22"/>
          <w:szCs w:val="22"/>
        </w:rPr>
        <w:t>so as to</w:t>
      </w:r>
      <w:proofErr w:type="gramEnd"/>
      <w:r w:rsidR="00F200C1">
        <w:rPr>
          <w:rFonts w:ascii="Arial" w:hAnsi="Arial" w:cs="Arial"/>
          <w:color w:val="000000" w:themeColor="text1"/>
          <w:sz w:val="22"/>
          <w:szCs w:val="22"/>
        </w:rPr>
        <w:t xml:space="preserve"> not disturb the pellet. </w:t>
      </w:r>
    </w:p>
    <w:p w14:paraId="2004C701" w14:textId="73FC719A" w:rsidR="00F200C1" w:rsidRDefault="00F200C1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Note: It is common not to observe a visible pellet</w:t>
      </w:r>
    </w:p>
    <w:p w14:paraId="472D7AD0" w14:textId="574AC7E5" w:rsidR="00F200C1" w:rsidRDefault="00F200C1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4.</w:t>
      </w:r>
      <w:r w:rsidRPr="00F200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Pellets are resuspended in 4 volumes of ice cold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10% TCA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and pelleted by centrifugation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4</w:t>
      </w:r>
      <w:r w:rsidRPr="009532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10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min</w:t>
      </w:r>
      <w:r>
        <w:rPr>
          <w:rFonts w:ascii="Arial" w:hAnsi="Arial" w:cs="Arial"/>
          <w:color w:val="000000" w:themeColor="text1"/>
          <w:sz w:val="22"/>
          <w:szCs w:val="22"/>
        </w:rPr>
        <w:t>utes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maximum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speed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Aspirate as before. </w:t>
      </w:r>
    </w:p>
    <w:p w14:paraId="592B3E0E" w14:textId="77777777" w:rsidR="00F200C1" w:rsidRDefault="00F200C1" w:rsidP="00F200C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5.</w:t>
      </w:r>
      <w:r w:rsidRPr="00F200C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Pellets are resuspended in 4 volumes of </w:t>
      </w:r>
      <w:proofErr w:type="gramStart"/>
      <w:r w:rsidRPr="00953299">
        <w:rPr>
          <w:rFonts w:ascii="Arial" w:hAnsi="Arial" w:cs="Arial"/>
          <w:color w:val="000000" w:themeColor="text1"/>
          <w:sz w:val="22"/>
          <w:szCs w:val="22"/>
        </w:rPr>
        <w:t>ice cold</w:t>
      </w:r>
      <w:proofErr w:type="gramEnd"/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methanol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and pelleted by centrifugation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4</w:t>
      </w:r>
      <w:r w:rsidRPr="009532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10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min</w:t>
      </w:r>
      <w:r>
        <w:rPr>
          <w:rFonts w:ascii="Arial" w:hAnsi="Arial" w:cs="Arial"/>
          <w:color w:val="000000" w:themeColor="text1"/>
          <w:sz w:val="22"/>
          <w:szCs w:val="22"/>
        </w:rPr>
        <w:t>utes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maximum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speed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Aspirate as before. </w:t>
      </w:r>
    </w:p>
    <w:p w14:paraId="3318FAAD" w14:textId="4B1A35AD" w:rsidR="00F200C1" w:rsidRDefault="00F200C1" w:rsidP="00F200C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6. Repeat the methanol wash. </w:t>
      </w:r>
    </w:p>
    <w:p w14:paraId="75CDD3FF" w14:textId="6041CFFB" w:rsidR="00953299" w:rsidRPr="00953299" w:rsidRDefault="00F200C1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="00953299" w:rsidRPr="0095329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Aspirate </w:t>
      </w:r>
      <w:r w:rsidR="00953299" w:rsidRPr="00953299">
        <w:rPr>
          <w:rFonts w:ascii="Arial" w:hAnsi="Arial" w:cs="Arial"/>
          <w:color w:val="000000" w:themeColor="text1"/>
          <w:sz w:val="22"/>
          <w:szCs w:val="22"/>
        </w:rPr>
        <w:t xml:space="preserve">methanol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as before </w:t>
      </w:r>
      <w:r w:rsidR="00953299" w:rsidRPr="00953299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>
        <w:rPr>
          <w:rFonts w:ascii="Arial" w:hAnsi="Arial" w:cs="Arial"/>
          <w:color w:val="000000" w:themeColor="text1"/>
          <w:sz w:val="22"/>
          <w:szCs w:val="22"/>
        </w:rPr>
        <w:t>air dry remaining 30-40uL of solution (speed</w:t>
      </w:r>
      <w:r w:rsidR="000132AC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vac can also be used to dry sample)</w:t>
      </w:r>
    </w:p>
    <w:p w14:paraId="3ECC266C" w14:textId="31579149" w:rsidR="00953299" w:rsidRPr="00953299" w:rsidRDefault="00FA33E0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953299" w:rsidRPr="00953299">
        <w:rPr>
          <w:rFonts w:ascii="Arial" w:hAnsi="Arial" w:cs="Arial"/>
          <w:color w:val="000000" w:themeColor="text1"/>
          <w:sz w:val="22"/>
          <w:szCs w:val="22"/>
        </w:rPr>
        <w:t xml:space="preserve">. Dried pellets were then resuspended in 50μL, 200 mM EPPS, pH8.0. </w:t>
      </w:r>
    </w:p>
    <w:p w14:paraId="1BB42B74" w14:textId="7CB8419F" w:rsidR="00953299" w:rsidRPr="00953299" w:rsidRDefault="00953299" w:rsidP="009532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8. Peptide digestion was carried out using </w:t>
      </w:r>
      <w:proofErr w:type="spellStart"/>
      <w:r w:rsidRPr="00953299">
        <w:rPr>
          <w:rFonts w:ascii="Arial" w:hAnsi="Arial" w:cs="Arial"/>
          <w:color w:val="000000" w:themeColor="text1"/>
          <w:sz w:val="22"/>
          <w:szCs w:val="22"/>
        </w:rPr>
        <w:t>LysC</w:t>
      </w:r>
      <w:proofErr w:type="spellEnd"/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(0.25μg) for 2</w:t>
      </w:r>
      <w:r w:rsidR="00FA33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h</w:t>
      </w:r>
      <w:r w:rsidR="00FA33E0">
        <w:rPr>
          <w:rFonts w:ascii="Arial" w:hAnsi="Arial" w:cs="Arial"/>
          <w:color w:val="000000" w:themeColor="text1"/>
          <w:sz w:val="22"/>
          <w:szCs w:val="22"/>
        </w:rPr>
        <w:t>ours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 xml:space="preserve"> at 37</w:t>
      </w:r>
      <w:r w:rsidRPr="00953299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C followed by trypsin (0.5μg) overnigh</w:t>
      </w:r>
      <w:r w:rsidR="00D4368D">
        <w:rPr>
          <w:rFonts w:ascii="Arial" w:hAnsi="Arial" w:cs="Arial"/>
          <w:color w:val="000000" w:themeColor="text1"/>
          <w:sz w:val="22"/>
          <w:szCs w:val="22"/>
        </w:rPr>
        <w:t>t at 37C</w:t>
      </w:r>
      <w:r w:rsidRPr="0095329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B26435" w14:textId="77777777" w:rsidR="00953299" w:rsidRPr="00953299" w:rsidRDefault="00953299" w:rsidP="009532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17D3F2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</w:p>
    <w:p w14:paraId="442A9C84" w14:textId="77777777" w:rsidR="00E62B24" w:rsidRPr="00E62B24" w:rsidRDefault="00E62B24" w:rsidP="00E62B24">
      <w:pPr>
        <w:pStyle w:val="Heading1"/>
        <w:ind w:left="-5"/>
        <w:rPr>
          <w:sz w:val="22"/>
          <w:szCs w:val="22"/>
        </w:rPr>
      </w:pPr>
      <w:r w:rsidRPr="00E62B24">
        <w:rPr>
          <w:sz w:val="22"/>
          <w:szCs w:val="22"/>
        </w:rPr>
        <w:lastRenderedPageBreak/>
        <w:t>Labeling</w:t>
      </w:r>
      <w:r w:rsidRPr="00E62B24">
        <w:rPr>
          <w:sz w:val="22"/>
          <w:szCs w:val="22"/>
          <w:u w:val="none"/>
        </w:rPr>
        <w:t xml:space="preserve"> </w:t>
      </w:r>
    </w:p>
    <w:p w14:paraId="31C3573D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  </w:t>
      </w:r>
    </w:p>
    <w:p w14:paraId="642B16C7" w14:textId="24F52C55" w:rsidR="00E62B24" w:rsidRPr="00E62B24" w:rsidRDefault="00E62B24" w:rsidP="00E62B24">
      <w:pPr>
        <w:numPr>
          <w:ilvl w:val="0"/>
          <w:numId w:val="1"/>
        </w:numPr>
        <w:spacing w:after="3" w:line="253" w:lineRule="auto"/>
        <w:ind w:hanging="20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Add 3-4</w:t>
      </w:r>
      <w:r w:rsidR="005C7501" w:rsidRPr="00953299">
        <w:rPr>
          <w:rFonts w:ascii="Arial" w:hAnsi="Arial" w:cs="Arial"/>
          <w:sz w:val="22"/>
          <w:szCs w:val="22"/>
        </w:rPr>
        <w:t>μ</w:t>
      </w:r>
      <w:r w:rsidRPr="00E62B24">
        <w:rPr>
          <w:rFonts w:ascii="Arial" w:hAnsi="Arial" w:cs="Arial"/>
          <w:sz w:val="22"/>
          <w:szCs w:val="22"/>
        </w:rPr>
        <w:t xml:space="preserve">l of the TMT reagent </w:t>
      </w:r>
      <w:r w:rsidR="00985BFB">
        <w:rPr>
          <w:rFonts w:ascii="Arial" w:hAnsi="Arial" w:cs="Arial"/>
          <w:sz w:val="22"/>
          <w:szCs w:val="22"/>
        </w:rPr>
        <w:t>and 15</w:t>
      </w:r>
      <w:r w:rsidR="005C7501" w:rsidRPr="00953299">
        <w:rPr>
          <w:rFonts w:ascii="Arial" w:hAnsi="Arial" w:cs="Arial"/>
          <w:sz w:val="22"/>
          <w:szCs w:val="22"/>
        </w:rPr>
        <w:t>μ</w:t>
      </w:r>
      <w:r w:rsidR="00985BFB">
        <w:rPr>
          <w:rFonts w:ascii="Arial" w:hAnsi="Arial" w:cs="Arial"/>
          <w:sz w:val="22"/>
          <w:szCs w:val="22"/>
        </w:rPr>
        <w:t xml:space="preserve">L of 100% ACN </w:t>
      </w:r>
      <w:r w:rsidRPr="00E62B24">
        <w:rPr>
          <w:rFonts w:ascii="Arial" w:hAnsi="Arial" w:cs="Arial"/>
          <w:sz w:val="22"/>
          <w:szCs w:val="22"/>
        </w:rPr>
        <w:t xml:space="preserve">to each </w:t>
      </w:r>
      <w:r w:rsidR="00672E84">
        <w:rPr>
          <w:rFonts w:ascii="Arial" w:hAnsi="Arial" w:cs="Arial"/>
          <w:sz w:val="22"/>
          <w:szCs w:val="22"/>
        </w:rPr>
        <w:t>50</w:t>
      </w:r>
      <w:r w:rsidR="005C7501" w:rsidRPr="00953299">
        <w:rPr>
          <w:rFonts w:ascii="Arial" w:hAnsi="Arial" w:cs="Arial"/>
          <w:sz w:val="22"/>
          <w:szCs w:val="22"/>
        </w:rPr>
        <w:t>μ</w:t>
      </w:r>
      <w:r w:rsidR="00672E84">
        <w:rPr>
          <w:rFonts w:ascii="Arial" w:hAnsi="Arial" w:cs="Arial"/>
          <w:sz w:val="22"/>
          <w:szCs w:val="22"/>
        </w:rPr>
        <w:t xml:space="preserve">L </w:t>
      </w:r>
      <w:r w:rsidRPr="00E62B24">
        <w:rPr>
          <w:rFonts w:ascii="Arial" w:hAnsi="Arial" w:cs="Arial"/>
          <w:sz w:val="22"/>
          <w:szCs w:val="22"/>
        </w:rPr>
        <w:t xml:space="preserve">sample. </w:t>
      </w:r>
    </w:p>
    <w:p w14:paraId="6415CE8C" w14:textId="2D6F6906" w:rsidR="00E62B24" w:rsidRPr="00E62B24" w:rsidRDefault="00E62B24" w:rsidP="00E62B24">
      <w:pPr>
        <w:numPr>
          <w:ilvl w:val="0"/>
          <w:numId w:val="1"/>
        </w:numPr>
        <w:spacing w:after="3" w:line="253" w:lineRule="auto"/>
        <w:ind w:hanging="20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Incubate for 1</w:t>
      </w:r>
      <w:r w:rsidR="000132AC">
        <w:rPr>
          <w:rFonts w:ascii="Arial" w:hAnsi="Arial" w:cs="Arial"/>
          <w:sz w:val="22"/>
          <w:szCs w:val="22"/>
        </w:rPr>
        <w:t xml:space="preserve"> </w:t>
      </w:r>
      <w:r w:rsidRPr="00E62B24">
        <w:rPr>
          <w:rFonts w:ascii="Arial" w:hAnsi="Arial" w:cs="Arial"/>
          <w:sz w:val="22"/>
          <w:szCs w:val="22"/>
        </w:rPr>
        <w:t>h</w:t>
      </w:r>
      <w:r w:rsidR="000132AC">
        <w:rPr>
          <w:rFonts w:ascii="Arial" w:hAnsi="Arial" w:cs="Arial"/>
          <w:sz w:val="22"/>
          <w:szCs w:val="22"/>
        </w:rPr>
        <w:t>our</w:t>
      </w:r>
      <w:r w:rsidRPr="00E62B24">
        <w:rPr>
          <w:rFonts w:ascii="Arial" w:hAnsi="Arial" w:cs="Arial"/>
          <w:sz w:val="22"/>
          <w:szCs w:val="22"/>
        </w:rPr>
        <w:t xml:space="preserve"> at room temperature. </w:t>
      </w:r>
    </w:p>
    <w:p w14:paraId="33A1AD2C" w14:textId="160A58AE" w:rsidR="00E62B24" w:rsidRPr="00E62B24" w:rsidRDefault="00E62B24" w:rsidP="00E62B24">
      <w:pPr>
        <w:numPr>
          <w:ilvl w:val="0"/>
          <w:numId w:val="1"/>
        </w:numPr>
        <w:spacing w:after="3" w:line="253" w:lineRule="auto"/>
        <w:ind w:hanging="20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Stop the reaction with 4</w:t>
      </w:r>
      <w:r w:rsidR="005C7501" w:rsidRPr="00953299">
        <w:rPr>
          <w:rFonts w:ascii="Arial" w:hAnsi="Arial" w:cs="Arial"/>
          <w:sz w:val="22"/>
          <w:szCs w:val="22"/>
        </w:rPr>
        <w:t>μ</w:t>
      </w:r>
      <w:r w:rsidRPr="00E62B24">
        <w:rPr>
          <w:rFonts w:ascii="Arial" w:hAnsi="Arial" w:cs="Arial"/>
          <w:sz w:val="22"/>
          <w:szCs w:val="22"/>
        </w:rPr>
        <w:t>l of hydroxylamine 5%</w:t>
      </w:r>
      <w:r w:rsidR="00672E84">
        <w:rPr>
          <w:rFonts w:ascii="Arial" w:hAnsi="Arial" w:cs="Arial"/>
          <w:sz w:val="22"/>
          <w:szCs w:val="22"/>
        </w:rPr>
        <w:t xml:space="preserve"> for 15</w:t>
      </w:r>
      <w:r w:rsidR="000132AC">
        <w:rPr>
          <w:rFonts w:ascii="Arial" w:hAnsi="Arial" w:cs="Arial"/>
          <w:sz w:val="22"/>
          <w:szCs w:val="22"/>
        </w:rPr>
        <w:t xml:space="preserve"> </w:t>
      </w:r>
      <w:r w:rsidR="00672E84">
        <w:rPr>
          <w:rFonts w:ascii="Arial" w:hAnsi="Arial" w:cs="Arial"/>
          <w:sz w:val="22"/>
          <w:szCs w:val="22"/>
        </w:rPr>
        <w:t>min</w:t>
      </w:r>
      <w:r w:rsidR="000132AC">
        <w:rPr>
          <w:rFonts w:ascii="Arial" w:hAnsi="Arial" w:cs="Arial"/>
          <w:sz w:val="22"/>
          <w:szCs w:val="22"/>
        </w:rPr>
        <w:t>utes</w:t>
      </w:r>
      <w:r w:rsidR="00672E84">
        <w:rPr>
          <w:rFonts w:ascii="Arial" w:hAnsi="Arial" w:cs="Arial"/>
          <w:sz w:val="22"/>
          <w:szCs w:val="22"/>
        </w:rPr>
        <w:t xml:space="preserve"> at room temperature </w:t>
      </w:r>
    </w:p>
    <w:p w14:paraId="4C6A60CF" w14:textId="1B532868" w:rsidR="00E62B24" w:rsidRPr="00E62B24" w:rsidRDefault="00E62B24" w:rsidP="00985BFB">
      <w:pPr>
        <w:numPr>
          <w:ilvl w:val="0"/>
          <w:numId w:val="1"/>
        </w:numPr>
        <w:spacing w:after="3" w:line="253" w:lineRule="auto"/>
        <w:ind w:hanging="20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Combine samples</w:t>
      </w:r>
      <w:r w:rsidR="00985BFB">
        <w:rPr>
          <w:rFonts w:ascii="Arial" w:hAnsi="Arial" w:cs="Arial"/>
          <w:sz w:val="22"/>
          <w:szCs w:val="22"/>
        </w:rPr>
        <w:t xml:space="preserve"> </w:t>
      </w:r>
      <w:r w:rsidRPr="00E62B24">
        <w:rPr>
          <w:rFonts w:ascii="Arial" w:hAnsi="Arial" w:cs="Arial"/>
          <w:sz w:val="22"/>
          <w:szCs w:val="22"/>
        </w:rPr>
        <w:t xml:space="preserve">and </w:t>
      </w:r>
      <w:r w:rsidR="00985BFB">
        <w:rPr>
          <w:rFonts w:ascii="Arial" w:hAnsi="Arial" w:cs="Arial"/>
          <w:sz w:val="22"/>
          <w:szCs w:val="22"/>
        </w:rPr>
        <w:t xml:space="preserve">dry in a </w:t>
      </w:r>
      <w:r w:rsidRPr="00E62B24">
        <w:rPr>
          <w:rFonts w:ascii="Arial" w:hAnsi="Arial" w:cs="Arial"/>
          <w:sz w:val="22"/>
          <w:szCs w:val="22"/>
        </w:rPr>
        <w:t>speed-vac</w:t>
      </w:r>
      <w:r w:rsidR="00985BFB">
        <w:rPr>
          <w:rFonts w:ascii="Arial" w:hAnsi="Arial" w:cs="Arial"/>
          <w:sz w:val="22"/>
          <w:szCs w:val="22"/>
        </w:rPr>
        <w:t>.</w:t>
      </w:r>
    </w:p>
    <w:p w14:paraId="54B2CFC0" w14:textId="77777777" w:rsidR="00985BFB" w:rsidRDefault="00985BFB" w:rsidP="00E62B24">
      <w:pPr>
        <w:pStyle w:val="Heading1"/>
        <w:ind w:left="-5"/>
        <w:rPr>
          <w:sz w:val="22"/>
          <w:szCs w:val="22"/>
        </w:rPr>
      </w:pPr>
    </w:p>
    <w:p w14:paraId="0BB3824A" w14:textId="1CC7C963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</w:p>
    <w:p w14:paraId="0099F8D3" w14:textId="77777777" w:rsidR="00E62B24" w:rsidRPr="00E62B24" w:rsidRDefault="00E62B24" w:rsidP="004307B4">
      <w:pPr>
        <w:pStyle w:val="Heading1"/>
        <w:ind w:left="0" w:firstLine="0"/>
        <w:rPr>
          <w:sz w:val="22"/>
          <w:szCs w:val="22"/>
        </w:rPr>
      </w:pPr>
      <w:r w:rsidRPr="00E62B24">
        <w:rPr>
          <w:sz w:val="22"/>
          <w:szCs w:val="22"/>
        </w:rPr>
        <w:t>Basic-pH RP peptide fractionation kit (follow manufacturer's instructions)</w:t>
      </w:r>
      <w:r w:rsidRPr="00E62B24">
        <w:rPr>
          <w:b w:val="0"/>
          <w:sz w:val="22"/>
          <w:szCs w:val="22"/>
          <w:u w:val="none"/>
        </w:rPr>
        <w:t xml:space="preserve"> </w:t>
      </w:r>
    </w:p>
    <w:p w14:paraId="2DEB7A01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</w:p>
    <w:p w14:paraId="3DB44E43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1. Follow manufacturer’s instructions (Thermo Cat# 84868)        </w:t>
      </w:r>
    </w:p>
    <w:p w14:paraId="492B2CE1" w14:textId="77777777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2. Elution used: 17.5% ACN, 20% ACN, 22.5% ACN, 25% ACN, 27.5% ACN and 70% ACN </w:t>
      </w:r>
    </w:p>
    <w:p w14:paraId="18658F4E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3. Speed vac individual samples to dryness. </w:t>
      </w:r>
    </w:p>
    <w:p w14:paraId="0B375577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4. Proceed to stage-tip</w:t>
      </w:r>
    </w:p>
    <w:p w14:paraId="64D67D8F" w14:textId="77777777" w:rsidR="00E62B24" w:rsidRP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</w:p>
    <w:p w14:paraId="594397BB" w14:textId="77777777" w:rsidR="004307B4" w:rsidRPr="00E62B24" w:rsidRDefault="004307B4" w:rsidP="004307B4">
      <w:pPr>
        <w:pStyle w:val="Heading1"/>
        <w:ind w:left="-5"/>
        <w:rPr>
          <w:sz w:val="22"/>
          <w:szCs w:val="22"/>
        </w:rPr>
      </w:pPr>
      <w:r w:rsidRPr="00E62B24">
        <w:rPr>
          <w:sz w:val="22"/>
          <w:szCs w:val="22"/>
        </w:rPr>
        <w:t xml:space="preserve">Stage </w:t>
      </w:r>
      <w:proofErr w:type="spellStart"/>
      <w:r w:rsidRPr="00E62B24">
        <w:rPr>
          <w:sz w:val="22"/>
          <w:szCs w:val="22"/>
        </w:rPr>
        <w:t>TiP</w:t>
      </w:r>
      <w:proofErr w:type="spellEnd"/>
      <w:r w:rsidRPr="00E62B24">
        <w:rPr>
          <w:sz w:val="22"/>
          <w:szCs w:val="22"/>
          <w:u w:val="none"/>
        </w:rPr>
        <w:t xml:space="preserve"> </w:t>
      </w:r>
    </w:p>
    <w:p w14:paraId="1120C8B6" w14:textId="77777777" w:rsidR="004307B4" w:rsidRPr="00E62B24" w:rsidRDefault="004307B4" w:rsidP="004307B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b/>
          <w:sz w:val="22"/>
          <w:szCs w:val="22"/>
        </w:rPr>
        <w:t xml:space="preserve"> </w:t>
      </w:r>
    </w:p>
    <w:p w14:paraId="31C0B78C" w14:textId="52C3B717" w:rsidR="004307B4" w:rsidRPr="00E62B24" w:rsidRDefault="004307B4" w:rsidP="004307B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1. Resuspend samples in </w:t>
      </w:r>
      <w:r>
        <w:rPr>
          <w:rFonts w:ascii="Arial" w:hAnsi="Arial" w:cs="Arial"/>
          <w:sz w:val="22"/>
          <w:szCs w:val="22"/>
        </w:rPr>
        <w:t>100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 xml:space="preserve">L of </w:t>
      </w:r>
      <w:r w:rsidRPr="00E62B24">
        <w:rPr>
          <w:rFonts w:ascii="Arial" w:hAnsi="Arial" w:cs="Arial"/>
          <w:sz w:val="22"/>
          <w:szCs w:val="22"/>
        </w:rPr>
        <w:t>5% FA, 5%</w:t>
      </w:r>
      <w:r>
        <w:rPr>
          <w:rFonts w:ascii="Arial" w:hAnsi="Arial" w:cs="Arial"/>
          <w:sz w:val="22"/>
          <w:szCs w:val="22"/>
        </w:rPr>
        <w:t xml:space="preserve"> </w:t>
      </w:r>
      <w:r w:rsidRPr="00E62B24">
        <w:rPr>
          <w:rFonts w:ascii="Arial" w:hAnsi="Arial" w:cs="Arial"/>
          <w:sz w:val="22"/>
          <w:szCs w:val="22"/>
        </w:rPr>
        <w:t>ACN.</w:t>
      </w:r>
      <w:r>
        <w:rPr>
          <w:rFonts w:ascii="Arial" w:hAnsi="Arial" w:cs="Arial"/>
          <w:sz w:val="22"/>
          <w:szCs w:val="22"/>
        </w:rPr>
        <w:t xml:space="preserve"> Check to ensure that the pH of the samples is ~pH3 (or lower) using pH strips</w:t>
      </w:r>
    </w:p>
    <w:p w14:paraId="494E4FFF" w14:textId="77777777" w:rsidR="004307B4" w:rsidRPr="00E62B24" w:rsidRDefault="004307B4" w:rsidP="004307B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2. Perform C-18 cleanup: </w:t>
      </w:r>
    </w:p>
    <w:p w14:paraId="5C5FD72E" w14:textId="6143B5D9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a. Wash C-18 with 1</w:t>
      </w:r>
      <w:r>
        <w:rPr>
          <w:rFonts w:ascii="Arial" w:hAnsi="Arial" w:cs="Arial"/>
          <w:sz w:val="22"/>
          <w:szCs w:val="22"/>
        </w:rPr>
        <w:t>00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 of</w:t>
      </w:r>
      <w:r w:rsidRPr="00E62B24">
        <w:rPr>
          <w:rFonts w:ascii="Arial" w:hAnsi="Arial" w:cs="Arial"/>
          <w:sz w:val="22"/>
          <w:szCs w:val="22"/>
        </w:rPr>
        <w:t xml:space="preserve"> 100% </w:t>
      </w:r>
      <w:r>
        <w:rPr>
          <w:rFonts w:ascii="Arial" w:hAnsi="Arial" w:cs="Arial"/>
          <w:sz w:val="22"/>
          <w:szCs w:val="22"/>
        </w:rPr>
        <w:t>methanol</w:t>
      </w:r>
      <w:r w:rsidRPr="00E62B24">
        <w:rPr>
          <w:rFonts w:ascii="Arial" w:hAnsi="Arial" w:cs="Arial"/>
          <w:sz w:val="22"/>
          <w:szCs w:val="22"/>
        </w:rPr>
        <w:t>.</w:t>
      </w:r>
    </w:p>
    <w:p w14:paraId="63CEEEFA" w14:textId="6E749546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b. Equilibrate </w:t>
      </w:r>
      <w:r>
        <w:rPr>
          <w:rFonts w:ascii="Arial" w:hAnsi="Arial" w:cs="Arial"/>
          <w:sz w:val="22"/>
          <w:szCs w:val="22"/>
        </w:rPr>
        <w:t xml:space="preserve">C-18 </w:t>
      </w:r>
      <w:r w:rsidRPr="00E62B24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50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</w:t>
      </w:r>
      <w:r w:rsidRPr="00E62B24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50% ACN 5</w:t>
      </w:r>
      <w:r w:rsidRPr="00E62B24">
        <w:rPr>
          <w:rFonts w:ascii="Arial" w:hAnsi="Arial" w:cs="Arial"/>
          <w:sz w:val="22"/>
          <w:szCs w:val="22"/>
        </w:rPr>
        <w:t>% FA.</w:t>
      </w:r>
    </w:p>
    <w:p w14:paraId="14B2E2E9" w14:textId="1DE6C992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c. Equilibrate </w:t>
      </w:r>
      <w:r>
        <w:rPr>
          <w:rFonts w:ascii="Arial" w:hAnsi="Arial" w:cs="Arial"/>
          <w:sz w:val="22"/>
          <w:szCs w:val="22"/>
        </w:rPr>
        <w:t xml:space="preserve">C-18 </w:t>
      </w:r>
      <w:r w:rsidRPr="00E62B24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100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</w:t>
      </w:r>
      <w:r w:rsidRPr="00E62B24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5% ACN 5</w:t>
      </w:r>
      <w:r w:rsidRPr="00E62B24">
        <w:rPr>
          <w:rFonts w:ascii="Arial" w:hAnsi="Arial" w:cs="Arial"/>
          <w:sz w:val="22"/>
          <w:szCs w:val="22"/>
        </w:rPr>
        <w:t>% FA.</w:t>
      </w:r>
    </w:p>
    <w:p w14:paraId="2DB7C250" w14:textId="77777777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d. Load sample </w:t>
      </w:r>
      <w:r>
        <w:rPr>
          <w:rFonts w:ascii="Arial" w:hAnsi="Arial" w:cs="Arial"/>
          <w:sz w:val="22"/>
          <w:szCs w:val="22"/>
        </w:rPr>
        <w:t>on to C-18 to bind peptides</w:t>
      </w:r>
      <w:r w:rsidRPr="00E62B24">
        <w:rPr>
          <w:rFonts w:ascii="Arial" w:hAnsi="Arial" w:cs="Arial"/>
          <w:sz w:val="22"/>
          <w:szCs w:val="22"/>
        </w:rPr>
        <w:t>.</w:t>
      </w:r>
    </w:p>
    <w:p w14:paraId="7DA63D58" w14:textId="77777777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e. Collect flow through and freeze.</w:t>
      </w:r>
    </w:p>
    <w:p w14:paraId="6D8C4157" w14:textId="6563C2FE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f. Wash </w:t>
      </w:r>
      <w:r>
        <w:rPr>
          <w:rFonts w:ascii="Arial" w:hAnsi="Arial" w:cs="Arial"/>
          <w:sz w:val="22"/>
          <w:szCs w:val="22"/>
        </w:rPr>
        <w:t xml:space="preserve">bound peptides on C-18 </w:t>
      </w:r>
      <w:r w:rsidRPr="00E62B24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50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 of 5% ACN 5% FA</w:t>
      </w:r>
      <w:r w:rsidRPr="00E62B24">
        <w:rPr>
          <w:rFonts w:ascii="Arial" w:hAnsi="Arial" w:cs="Arial"/>
          <w:sz w:val="22"/>
          <w:szCs w:val="22"/>
        </w:rPr>
        <w:t>.</w:t>
      </w:r>
    </w:p>
    <w:p w14:paraId="38B3A7DC" w14:textId="0F93A7C4" w:rsidR="004307B4" w:rsidRPr="00E62B24" w:rsidRDefault="004307B4" w:rsidP="004307B4">
      <w:pPr>
        <w:spacing w:line="259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E62B24">
        <w:rPr>
          <w:rFonts w:ascii="Arial" w:hAnsi="Arial" w:cs="Arial"/>
          <w:sz w:val="22"/>
          <w:szCs w:val="22"/>
        </w:rPr>
        <w:t xml:space="preserve">. Elute </w:t>
      </w:r>
      <w:r>
        <w:rPr>
          <w:rFonts w:ascii="Arial" w:hAnsi="Arial" w:cs="Arial"/>
          <w:sz w:val="22"/>
          <w:szCs w:val="22"/>
        </w:rPr>
        <w:t xml:space="preserve">peptides off C-18 </w:t>
      </w:r>
      <w:r w:rsidRPr="00E62B24">
        <w:rPr>
          <w:rFonts w:ascii="Arial" w:hAnsi="Arial" w:cs="Arial"/>
          <w:sz w:val="22"/>
          <w:szCs w:val="22"/>
        </w:rPr>
        <w:t>with 5</w:t>
      </w:r>
      <w:r>
        <w:rPr>
          <w:rFonts w:ascii="Arial" w:hAnsi="Arial" w:cs="Arial"/>
          <w:sz w:val="22"/>
          <w:szCs w:val="22"/>
        </w:rPr>
        <w:t>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 of 75</w:t>
      </w:r>
      <w:r w:rsidRPr="00E62B24">
        <w:rPr>
          <w:rFonts w:ascii="Arial" w:hAnsi="Arial" w:cs="Arial"/>
          <w:sz w:val="22"/>
          <w:szCs w:val="22"/>
        </w:rPr>
        <w:t>% ACN/</w:t>
      </w:r>
      <w:r>
        <w:rPr>
          <w:rFonts w:ascii="Arial" w:hAnsi="Arial" w:cs="Arial"/>
          <w:sz w:val="22"/>
          <w:szCs w:val="22"/>
        </w:rPr>
        <w:t>5</w:t>
      </w:r>
      <w:r w:rsidRPr="00E62B24">
        <w:rPr>
          <w:rFonts w:ascii="Arial" w:hAnsi="Arial" w:cs="Arial"/>
          <w:sz w:val="22"/>
          <w:szCs w:val="22"/>
        </w:rPr>
        <w:t xml:space="preserve"> % FA.</w:t>
      </w:r>
    </w:p>
    <w:p w14:paraId="5F3B6322" w14:textId="25425C93" w:rsidR="004307B4" w:rsidRDefault="004307B4" w:rsidP="004307B4">
      <w:pPr>
        <w:spacing w:line="259" w:lineRule="auto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3. Dry down </w:t>
      </w:r>
      <w:r w:rsidR="004539D2">
        <w:rPr>
          <w:rFonts w:ascii="Arial" w:hAnsi="Arial" w:cs="Arial"/>
          <w:sz w:val="22"/>
          <w:szCs w:val="22"/>
        </w:rPr>
        <w:t xml:space="preserve">eluted peptides </w:t>
      </w:r>
      <w:r w:rsidRPr="00E62B24">
        <w:rPr>
          <w:rFonts w:ascii="Arial" w:hAnsi="Arial" w:cs="Arial"/>
          <w:sz w:val="22"/>
          <w:szCs w:val="22"/>
        </w:rPr>
        <w:t>in speed</w:t>
      </w:r>
      <w:r w:rsidR="004539D2">
        <w:rPr>
          <w:rFonts w:ascii="Arial" w:hAnsi="Arial" w:cs="Arial"/>
          <w:sz w:val="22"/>
          <w:szCs w:val="22"/>
        </w:rPr>
        <w:t>-</w:t>
      </w:r>
      <w:r w:rsidRPr="00E62B24">
        <w:rPr>
          <w:rFonts w:ascii="Arial" w:hAnsi="Arial" w:cs="Arial"/>
          <w:sz w:val="22"/>
          <w:szCs w:val="22"/>
        </w:rPr>
        <w:t>vac.</w:t>
      </w:r>
    </w:p>
    <w:p w14:paraId="7DE62E71" w14:textId="0CF8BD89" w:rsidR="004539D2" w:rsidRPr="00E62B24" w:rsidRDefault="004539D2" w:rsidP="004307B4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Re-constitute peptides in 10</w:t>
      </w:r>
      <w:r w:rsidR="005C7501" w:rsidRPr="00953299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 of 5% ACN 5% FA</w:t>
      </w:r>
    </w:p>
    <w:p w14:paraId="0E59B0D6" w14:textId="3785A153" w:rsidR="00E62B24" w:rsidRDefault="00E62B24" w:rsidP="00E62B24">
      <w:pPr>
        <w:spacing w:line="259" w:lineRule="auto"/>
        <w:rPr>
          <w:rFonts w:ascii="Arial" w:hAnsi="Arial" w:cs="Arial"/>
          <w:sz w:val="22"/>
          <w:szCs w:val="22"/>
        </w:rPr>
      </w:pPr>
    </w:p>
    <w:p w14:paraId="21E1AD21" w14:textId="77777777" w:rsidR="00E62B24" w:rsidRPr="00E62B24" w:rsidRDefault="00E62B24" w:rsidP="004307B4">
      <w:pPr>
        <w:rPr>
          <w:rFonts w:ascii="Arial" w:hAnsi="Arial" w:cs="Arial"/>
          <w:b/>
          <w:bCs/>
          <w:sz w:val="22"/>
          <w:szCs w:val="22"/>
        </w:rPr>
      </w:pPr>
      <w:r w:rsidRPr="00E62B24">
        <w:rPr>
          <w:rFonts w:ascii="Arial" w:hAnsi="Arial" w:cs="Arial"/>
          <w:b/>
          <w:bCs/>
          <w:sz w:val="22"/>
          <w:szCs w:val="22"/>
        </w:rPr>
        <w:t>Mass spectrometry:</w:t>
      </w:r>
    </w:p>
    <w:p w14:paraId="69BB84FB" w14:textId="315FAB35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The analysis of peptides by mass spectrometry will depend on the type of instrument/platform used. Typical instrument settings for analysis on a Thermo Fusion Lumos instrument are provided in the following section.</w:t>
      </w:r>
    </w:p>
    <w:p w14:paraId="59E981A6" w14:textId="77777777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</w:p>
    <w:p w14:paraId="6E1FAFCB" w14:textId="77777777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Inject 3 </w:t>
      </w:r>
      <w:proofErr w:type="spellStart"/>
      <w:r w:rsidRPr="00E62B24">
        <w:rPr>
          <w:rFonts w:ascii="Arial" w:hAnsi="Arial" w:cs="Arial"/>
          <w:sz w:val="22"/>
          <w:szCs w:val="22"/>
        </w:rPr>
        <w:t>μl</w:t>
      </w:r>
      <w:proofErr w:type="spellEnd"/>
      <w:r w:rsidRPr="00E62B24">
        <w:rPr>
          <w:rFonts w:ascii="Arial" w:hAnsi="Arial" w:cs="Arial"/>
          <w:sz w:val="22"/>
          <w:szCs w:val="22"/>
        </w:rPr>
        <w:t xml:space="preserve"> for each LC–MS/MS analysis using available mass spectrometer with a 120-minute online LC separation.</w:t>
      </w:r>
    </w:p>
    <w:p w14:paraId="50A7ED90" w14:textId="77777777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</w:p>
    <w:p w14:paraId="5551A007" w14:textId="77777777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 xml:space="preserve">Search raw data against </w:t>
      </w:r>
      <w:proofErr w:type="spellStart"/>
      <w:r w:rsidRPr="00E62B24">
        <w:rPr>
          <w:rFonts w:ascii="Arial" w:hAnsi="Arial" w:cs="Arial"/>
          <w:sz w:val="22"/>
          <w:szCs w:val="22"/>
        </w:rPr>
        <w:t>UniProt</w:t>
      </w:r>
      <w:proofErr w:type="spellEnd"/>
      <w:r w:rsidRPr="00E62B24">
        <w:rPr>
          <w:rFonts w:ascii="Arial" w:hAnsi="Arial" w:cs="Arial"/>
          <w:sz w:val="22"/>
          <w:szCs w:val="22"/>
        </w:rPr>
        <w:t xml:space="preserve"> human protein database using any proteomic analysis software with the following parameters: </w:t>
      </w:r>
    </w:p>
    <w:p w14:paraId="377509E8" w14:textId="77777777" w:rsidR="00E62B24" w:rsidRPr="00E62B24" w:rsidRDefault="00E62B24" w:rsidP="00E62B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2B24">
        <w:rPr>
          <w:rFonts w:ascii="Arial" w:eastAsia="Arial" w:hAnsi="Arial" w:cs="Arial"/>
          <w:color w:val="000000"/>
        </w:rPr>
        <w:t>Up to 3 missed cleavages allowed for trypsin/</w:t>
      </w:r>
      <w:proofErr w:type="spellStart"/>
      <w:r w:rsidRPr="00E62B24">
        <w:rPr>
          <w:rFonts w:ascii="Arial" w:eastAsia="Arial" w:hAnsi="Arial" w:cs="Arial"/>
          <w:color w:val="000000"/>
        </w:rPr>
        <w:t>LysC</w:t>
      </w:r>
      <w:proofErr w:type="spellEnd"/>
      <w:r w:rsidRPr="00E62B24">
        <w:rPr>
          <w:rFonts w:ascii="Arial" w:eastAsia="Arial" w:hAnsi="Arial" w:cs="Arial"/>
          <w:color w:val="000000"/>
        </w:rPr>
        <w:t xml:space="preserve"> digestion</w:t>
      </w:r>
    </w:p>
    <w:p w14:paraId="2009C933" w14:textId="77777777" w:rsidR="00E62B24" w:rsidRPr="00E62B24" w:rsidRDefault="00E62B24" w:rsidP="00E62B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2B24">
        <w:rPr>
          <w:rFonts w:ascii="Arial" w:eastAsia="Arial" w:hAnsi="Arial" w:cs="Arial"/>
          <w:color w:val="000000"/>
        </w:rPr>
        <w:t>Carbamidomethyl (C), TMT (N-term peptide and K) set as a fixed modification</w:t>
      </w:r>
    </w:p>
    <w:p w14:paraId="32785AAE" w14:textId="001260C8" w:rsidR="00E62B24" w:rsidRPr="00E62B24" w:rsidRDefault="00E62B24" w:rsidP="00E62B2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2B24">
        <w:rPr>
          <w:rFonts w:ascii="Arial" w:eastAsia="Arial" w:hAnsi="Arial" w:cs="Arial"/>
          <w:color w:val="000000"/>
        </w:rPr>
        <w:t>Oxidation (M) set as variable modifications</w:t>
      </w:r>
    </w:p>
    <w:p w14:paraId="61377D0C" w14:textId="4339B805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Extract signal to noise intensity values of each TMT reporter and identified proteins, and further calculate the ratio of each condition to the control sample’s intensity.</w:t>
      </w:r>
      <w:r w:rsidR="003B24E4">
        <w:rPr>
          <w:rFonts w:ascii="Arial" w:hAnsi="Arial" w:cs="Arial"/>
          <w:sz w:val="22"/>
          <w:szCs w:val="22"/>
        </w:rPr>
        <w:t xml:space="preserve"> This process will depend on the type of analysis software employed with the specific MS platform being used.</w:t>
      </w:r>
    </w:p>
    <w:p w14:paraId="28C51E56" w14:textId="77777777" w:rsidR="00E62B24" w:rsidRPr="00E62B24" w:rsidRDefault="00E62B24" w:rsidP="00E62B24">
      <w:pPr>
        <w:ind w:left="-15"/>
        <w:rPr>
          <w:rFonts w:ascii="Arial" w:hAnsi="Arial" w:cs="Arial"/>
          <w:sz w:val="22"/>
          <w:szCs w:val="22"/>
        </w:rPr>
      </w:pPr>
    </w:p>
    <w:p w14:paraId="2D298F14" w14:textId="77777777" w:rsidR="00E62B24" w:rsidRPr="00E62B24" w:rsidRDefault="00E62B24" w:rsidP="00E62B24">
      <w:pPr>
        <w:ind w:left="-5"/>
        <w:rPr>
          <w:rFonts w:ascii="Arial" w:hAnsi="Arial" w:cs="Arial"/>
          <w:b/>
          <w:bCs/>
          <w:sz w:val="22"/>
          <w:szCs w:val="22"/>
        </w:rPr>
      </w:pPr>
      <w:r w:rsidRPr="00E62B24">
        <w:rPr>
          <w:rFonts w:ascii="Arial" w:hAnsi="Arial" w:cs="Arial"/>
          <w:b/>
          <w:bCs/>
          <w:sz w:val="22"/>
          <w:szCs w:val="22"/>
        </w:rPr>
        <w:lastRenderedPageBreak/>
        <w:t>Instrument settings:</w:t>
      </w:r>
    </w:p>
    <w:p w14:paraId="2E62B0D5" w14:textId="176B15C7" w:rsidR="00E62B24" w:rsidRDefault="00E62B24" w:rsidP="005C7501">
      <w:pPr>
        <w:pStyle w:val="Body"/>
        <w:spacing w:after="120" w:line="240" w:lineRule="auto"/>
        <w:ind w:firstLine="720"/>
        <w:jc w:val="both"/>
        <w:rPr>
          <w:rFonts w:ascii="Arial" w:hAnsi="Arial" w:cs="Arial"/>
          <w:sz w:val="22"/>
        </w:rPr>
      </w:pPr>
      <w:r w:rsidRPr="00E62B24">
        <w:rPr>
          <w:rFonts w:ascii="Arial" w:eastAsiaTheme="minorEastAsia" w:hAnsi="Arial" w:cs="Arial"/>
          <w:sz w:val="22"/>
        </w:rPr>
        <w:t xml:space="preserve">Mass spectrometry data were collected using an Orbitrap Fusion Lumos mass spectrometer (Thermo Fisher Scientific, San Jose, CA) coupled to a </w:t>
      </w:r>
      <w:proofErr w:type="spellStart"/>
      <w:r w:rsidRPr="00E62B24">
        <w:rPr>
          <w:rFonts w:ascii="Arial" w:eastAsiaTheme="minorEastAsia" w:hAnsi="Arial" w:cs="Arial"/>
          <w:sz w:val="22"/>
        </w:rPr>
        <w:t>Proxeon</w:t>
      </w:r>
      <w:proofErr w:type="spellEnd"/>
      <w:r w:rsidRPr="00E62B24">
        <w:rPr>
          <w:rFonts w:ascii="Arial" w:eastAsiaTheme="minorEastAsia" w:hAnsi="Arial" w:cs="Arial"/>
          <w:sz w:val="22"/>
        </w:rPr>
        <w:t xml:space="preserve"> EASY-nLC1200 liquid chromatography (LC) pump (Thermo Fisher Scientific). </w:t>
      </w:r>
      <w:r w:rsidR="005C7501" w:rsidRPr="005C7501">
        <w:rPr>
          <w:rFonts w:ascii="Arial" w:hAnsi="Arial" w:cs="Arial"/>
          <w:sz w:val="22"/>
        </w:rPr>
        <w:t xml:space="preserve">Peptides were separated on a 100 </w:t>
      </w:r>
      <w:proofErr w:type="spellStart"/>
      <w:r w:rsidR="005C7501" w:rsidRPr="005C7501">
        <w:rPr>
          <w:rFonts w:ascii="Arial" w:hAnsi="Arial" w:cs="Arial"/>
          <w:sz w:val="22"/>
        </w:rPr>
        <w:t>μm</w:t>
      </w:r>
      <w:proofErr w:type="spellEnd"/>
      <w:r w:rsidR="005C7501" w:rsidRPr="005C7501">
        <w:rPr>
          <w:rFonts w:ascii="Arial" w:hAnsi="Arial" w:cs="Arial"/>
          <w:sz w:val="22"/>
        </w:rPr>
        <w:t xml:space="preserve"> inner diameter microcapillary column packed in house with ~35 cm of Accucore150 resin (2.6 </w:t>
      </w:r>
      <w:proofErr w:type="spellStart"/>
      <w:r w:rsidR="005C7501" w:rsidRPr="005C7501">
        <w:rPr>
          <w:rFonts w:ascii="Arial" w:hAnsi="Arial" w:cs="Arial"/>
          <w:sz w:val="22"/>
        </w:rPr>
        <w:t>μm</w:t>
      </w:r>
      <w:proofErr w:type="spellEnd"/>
      <w:r w:rsidR="005C7501" w:rsidRPr="005C7501">
        <w:rPr>
          <w:rFonts w:ascii="Arial" w:hAnsi="Arial" w:cs="Arial"/>
          <w:sz w:val="22"/>
        </w:rPr>
        <w:t xml:space="preserve">, 150 Å, </w:t>
      </w:r>
      <w:proofErr w:type="spellStart"/>
      <w:r w:rsidR="005C7501" w:rsidRPr="005C7501">
        <w:rPr>
          <w:rFonts w:ascii="Arial" w:hAnsi="Arial" w:cs="Arial"/>
          <w:sz w:val="22"/>
        </w:rPr>
        <w:t>ThermoFisher</w:t>
      </w:r>
      <w:proofErr w:type="spellEnd"/>
      <w:r w:rsidR="005C7501" w:rsidRPr="005C7501">
        <w:rPr>
          <w:rFonts w:ascii="Arial" w:hAnsi="Arial" w:cs="Arial"/>
          <w:sz w:val="22"/>
        </w:rPr>
        <w:t xml:space="preserve"> Scientific, San Jose, CA)</w:t>
      </w:r>
      <w:r w:rsidR="005C7501">
        <w:rPr>
          <w:rFonts w:ascii="Arial" w:hAnsi="Arial" w:cs="Arial"/>
          <w:sz w:val="22"/>
        </w:rPr>
        <w:t xml:space="preserve"> </w:t>
      </w:r>
      <w:r w:rsidR="005C7501" w:rsidRPr="005C7501">
        <w:rPr>
          <w:rFonts w:ascii="Arial" w:hAnsi="Arial" w:cs="Arial"/>
          <w:sz w:val="22"/>
        </w:rPr>
        <w:t xml:space="preserve">with a gradient consisting of 5%–21% (ACN, 0.1% FA) over a total 150 min run at ~500 </w:t>
      </w:r>
      <w:proofErr w:type="spellStart"/>
      <w:r w:rsidR="005C7501" w:rsidRPr="005C7501">
        <w:rPr>
          <w:rFonts w:ascii="Arial" w:hAnsi="Arial" w:cs="Arial"/>
          <w:sz w:val="22"/>
        </w:rPr>
        <w:t>nL</w:t>
      </w:r>
      <w:proofErr w:type="spellEnd"/>
      <w:r w:rsidR="005C7501" w:rsidRPr="005C7501">
        <w:rPr>
          <w:rFonts w:ascii="Arial" w:hAnsi="Arial" w:cs="Arial"/>
          <w:sz w:val="22"/>
        </w:rPr>
        <w:t>/min.</w:t>
      </w:r>
      <w:r w:rsidR="005C7501" w:rsidRPr="005C7501">
        <w:rPr>
          <w:rFonts w:ascii="Arial" w:hAnsi="Arial" w:cs="Arial"/>
          <w:sz w:val="22"/>
          <w:vertAlign w:val="superscript"/>
        </w:rPr>
        <w:t>3</w:t>
      </w:r>
      <w:r w:rsidR="005C7501" w:rsidRPr="005C7501">
        <w:rPr>
          <w:rFonts w:ascii="Arial" w:hAnsi="Arial" w:cs="Arial"/>
          <w:sz w:val="22"/>
        </w:rPr>
        <w:t xml:space="preserve"> Details of </w:t>
      </w:r>
      <w:r w:rsidR="005C7501">
        <w:rPr>
          <w:rFonts w:ascii="Arial" w:hAnsi="Arial" w:cs="Arial"/>
          <w:sz w:val="22"/>
        </w:rPr>
        <w:t xml:space="preserve">typical </w:t>
      </w:r>
      <w:r w:rsidR="005C7501" w:rsidRPr="005C7501">
        <w:rPr>
          <w:rFonts w:ascii="Arial" w:hAnsi="Arial" w:cs="Arial"/>
          <w:sz w:val="22"/>
        </w:rPr>
        <w:t xml:space="preserve">instrument parameters </w:t>
      </w:r>
      <w:r w:rsidR="005C7501">
        <w:rPr>
          <w:rFonts w:ascii="Arial" w:hAnsi="Arial" w:cs="Arial"/>
          <w:sz w:val="22"/>
        </w:rPr>
        <w:t>are</w:t>
      </w:r>
      <w:r w:rsidR="005C7501" w:rsidRPr="005C7501">
        <w:rPr>
          <w:rFonts w:ascii="Arial" w:hAnsi="Arial" w:cs="Arial"/>
          <w:sz w:val="22"/>
        </w:rPr>
        <w:t xml:space="preserve"> provided below</w:t>
      </w:r>
      <w:r w:rsidR="005C7501">
        <w:rPr>
          <w:rFonts w:ascii="Arial" w:hAnsi="Arial" w:cs="Arial"/>
          <w:sz w:val="22"/>
        </w:rPr>
        <w:t>.</w:t>
      </w:r>
      <w:r w:rsidR="005C7501" w:rsidRPr="005C7501">
        <w:rPr>
          <w:rFonts w:ascii="Arial" w:hAnsi="Arial" w:cs="Arial"/>
          <w:sz w:val="22"/>
        </w:rPr>
        <w:t xml:space="preserve"> For Multi-Notch MS3-based TMT analysis</w:t>
      </w:r>
      <w:r w:rsidR="005C7501" w:rsidRPr="005C7501">
        <w:rPr>
          <w:rFonts w:ascii="Arial" w:hAnsi="Arial" w:cs="Arial"/>
          <w:sz w:val="22"/>
          <w:vertAlign w:val="superscript"/>
        </w:rPr>
        <w:t>3</w:t>
      </w:r>
      <w:r w:rsidR="005C7501" w:rsidRPr="005C7501">
        <w:rPr>
          <w:rFonts w:ascii="Arial" w:hAnsi="Arial" w:cs="Arial"/>
          <w:sz w:val="22"/>
        </w:rPr>
        <w:t>, the scan sequence began with an MS</w:t>
      </w:r>
      <w:r w:rsidR="005C7501" w:rsidRPr="005C7501">
        <w:rPr>
          <w:rFonts w:ascii="Arial" w:hAnsi="Arial" w:cs="Arial"/>
          <w:sz w:val="22"/>
          <w:vertAlign w:val="superscript"/>
        </w:rPr>
        <w:t>1</w:t>
      </w:r>
      <w:r w:rsidR="005C7501" w:rsidRPr="005C7501">
        <w:rPr>
          <w:rFonts w:ascii="Arial" w:hAnsi="Arial" w:cs="Arial"/>
          <w:sz w:val="22"/>
        </w:rPr>
        <w:t xml:space="preserve"> spectrum (Orbitrap analysis; resolution 60,000 at 200 Th; mass range 375−1500 m/z; automatic gain control (AGC) target 5Å~10</w:t>
      </w:r>
      <w:r w:rsidR="005C7501" w:rsidRPr="005C7501">
        <w:rPr>
          <w:rFonts w:ascii="Arial" w:hAnsi="Arial" w:cs="Arial"/>
          <w:sz w:val="22"/>
          <w:vertAlign w:val="superscript"/>
        </w:rPr>
        <w:t>5</w:t>
      </w:r>
      <w:r w:rsidR="005C7501" w:rsidRPr="005C7501">
        <w:rPr>
          <w:rFonts w:ascii="Arial" w:hAnsi="Arial" w:cs="Arial"/>
          <w:sz w:val="22"/>
        </w:rPr>
        <w:t xml:space="preserve">; maximum injection time 50 </w:t>
      </w:r>
      <w:proofErr w:type="spellStart"/>
      <w:r w:rsidR="005C7501" w:rsidRPr="005C7501">
        <w:rPr>
          <w:rFonts w:ascii="Arial" w:hAnsi="Arial" w:cs="Arial"/>
          <w:sz w:val="22"/>
        </w:rPr>
        <w:t>ms</w:t>
      </w:r>
      <w:proofErr w:type="spellEnd"/>
      <w:r w:rsidR="005C7501" w:rsidRPr="005C7501">
        <w:rPr>
          <w:rFonts w:ascii="Arial" w:hAnsi="Arial" w:cs="Arial"/>
          <w:sz w:val="22"/>
        </w:rPr>
        <w:t>) unless otherwise stated in the instrument parameters in each supplemental table. Precursors for MS2 analysis were selected using a Top10 method. MS</w:t>
      </w:r>
      <w:r w:rsidR="005C7501" w:rsidRPr="005C7501">
        <w:rPr>
          <w:rFonts w:ascii="Arial" w:hAnsi="Arial" w:cs="Arial"/>
          <w:sz w:val="22"/>
          <w:vertAlign w:val="superscript"/>
        </w:rPr>
        <w:t>2</w:t>
      </w:r>
      <w:r w:rsidR="005C7501" w:rsidRPr="005C7501">
        <w:rPr>
          <w:rFonts w:ascii="Arial" w:hAnsi="Arial" w:cs="Arial"/>
          <w:sz w:val="22"/>
        </w:rPr>
        <w:t xml:space="preserve"> analysis consisted of collision-induced dissociation (quadrupole ion trap analysis; Turbo scan rate; AGC 2.0Å~10</w:t>
      </w:r>
      <w:r w:rsidR="005C7501" w:rsidRPr="005C7501">
        <w:rPr>
          <w:rFonts w:ascii="Arial" w:hAnsi="Arial" w:cs="Arial"/>
          <w:sz w:val="22"/>
          <w:vertAlign w:val="superscript"/>
        </w:rPr>
        <w:t>4</w:t>
      </w:r>
      <w:r w:rsidR="005C7501" w:rsidRPr="005C7501">
        <w:rPr>
          <w:rFonts w:ascii="Arial" w:hAnsi="Arial" w:cs="Arial"/>
          <w:sz w:val="22"/>
        </w:rPr>
        <w:t xml:space="preserve">; isolation window 0.7 Th; normalized collision energy (NCE) 35; maximum injection time 90 </w:t>
      </w:r>
      <w:proofErr w:type="spellStart"/>
      <w:r w:rsidR="005C7501" w:rsidRPr="005C7501">
        <w:rPr>
          <w:rFonts w:ascii="Arial" w:hAnsi="Arial" w:cs="Arial"/>
          <w:sz w:val="22"/>
        </w:rPr>
        <w:t>ms</w:t>
      </w:r>
      <w:proofErr w:type="spellEnd"/>
      <w:r w:rsidR="005C7501" w:rsidRPr="005C7501">
        <w:rPr>
          <w:rFonts w:ascii="Arial" w:hAnsi="Arial" w:cs="Arial"/>
          <w:sz w:val="22"/>
        </w:rPr>
        <w:t xml:space="preserve">). Monoisotopic peak assignment was </w:t>
      </w:r>
      <w:proofErr w:type="gramStart"/>
      <w:r w:rsidR="005C7501" w:rsidRPr="005C7501">
        <w:rPr>
          <w:rFonts w:ascii="Arial" w:hAnsi="Arial" w:cs="Arial"/>
          <w:sz w:val="22"/>
        </w:rPr>
        <w:t>used</w:t>
      </w:r>
      <w:proofErr w:type="gramEnd"/>
      <w:r w:rsidR="005C7501" w:rsidRPr="005C7501">
        <w:rPr>
          <w:rFonts w:ascii="Arial" w:hAnsi="Arial" w:cs="Arial"/>
          <w:sz w:val="22"/>
        </w:rPr>
        <w:t xml:space="preserve"> and previously interrogated precursors were excluded using a dynamic window (150 s ± 7898 ppm) and dependent scans were performed on a single charge state per precursor. Following acquisition of each MS2 spectrum, a synchronous-precursor-selection (SPS) MS</w:t>
      </w:r>
      <w:r w:rsidR="005C7501" w:rsidRPr="005C7501">
        <w:rPr>
          <w:rFonts w:ascii="Arial" w:hAnsi="Arial" w:cs="Arial"/>
          <w:sz w:val="22"/>
          <w:vertAlign w:val="superscript"/>
        </w:rPr>
        <w:t>3</w:t>
      </w:r>
      <w:r w:rsidR="005C7501" w:rsidRPr="005C7501">
        <w:rPr>
          <w:rFonts w:ascii="Arial" w:hAnsi="Arial" w:cs="Arial"/>
          <w:sz w:val="22"/>
        </w:rPr>
        <w:t xml:space="preserve"> scan was collected on the top 10 most intense ions in the MS</w:t>
      </w:r>
      <w:r w:rsidR="005C7501" w:rsidRPr="005C7501">
        <w:rPr>
          <w:rFonts w:ascii="Arial" w:hAnsi="Arial" w:cs="Arial"/>
          <w:sz w:val="22"/>
          <w:vertAlign w:val="superscript"/>
        </w:rPr>
        <w:t>2</w:t>
      </w:r>
      <w:r w:rsidR="005C7501" w:rsidRPr="005C7501">
        <w:rPr>
          <w:rFonts w:ascii="Arial" w:hAnsi="Arial" w:cs="Arial"/>
          <w:sz w:val="22"/>
        </w:rPr>
        <w:t xml:space="preserve"> spectrum. MS</w:t>
      </w:r>
      <w:r w:rsidR="005C7501" w:rsidRPr="005C7501">
        <w:rPr>
          <w:rFonts w:ascii="Arial" w:hAnsi="Arial" w:cs="Arial"/>
          <w:sz w:val="22"/>
          <w:vertAlign w:val="superscript"/>
        </w:rPr>
        <w:t>3</w:t>
      </w:r>
      <w:r w:rsidR="005C7501" w:rsidRPr="005C7501">
        <w:rPr>
          <w:rFonts w:ascii="Arial" w:hAnsi="Arial" w:cs="Arial"/>
          <w:sz w:val="22"/>
        </w:rPr>
        <w:t xml:space="preserve"> precursors were fragmented by high energy collision-induced dissociation (HCD) and analyzed using the Orbitrap (NCE</w:t>
      </w:r>
      <w:r w:rsidR="005C7501">
        <w:rPr>
          <w:rFonts w:ascii="Arial" w:eastAsiaTheme="minorEastAsia" w:hAnsi="Arial" w:cs="Arial"/>
          <w:sz w:val="22"/>
        </w:rPr>
        <w:t xml:space="preserve"> </w:t>
      </w:r>
      <w:r w:rsidR="005C7501" w:rsidRPr="005C7501">
        <w:rPr>
          <w:rFonts w:ascii="Arial" w:hAnsi="Arial" w:cs="Arial"/>
          <w:sz w:val="22"/>
        </w:rPr>
        <w:t>65; AGC 3Å~10</w:t>
      </w:r>
      <w:r w:rsidR="005C7501" w:rsidRPr="005C7501">
        <w:rPr>
          <w:rFonts w:ascii="Arial" w:hAnsi="Arial" w:cs="Arial"/>
          <w:sz w:val="22"/>
          <w:vertAlign w:val="superscript"/>
        </w:rPr>
        <w:t>5</w:t>
      </w:r>
      <w:r w:rsidR="005C7501" w:rsidRPr="005C7501">
        <w:rPr>
          <w:rFonts w:ascii="Arial" w:hAnsi="Arial" w:cs="Arial"/>
          <w:sz w:val="22"/>
        </w:rPr>
        <w:t xml:space="preserve">; maximum injection time 150 </w:t>
      </w:r>
      <w:proofErr w:type="spellStart"/>
      <w:r w:rsidR="005C7501" w:rsidRPr="005C7501">
        <w:rPr>
          <w:rFonts w:ascii="Arial" w:hAnsi="Arial" w:cs="Arial"/>
          <w:sz w:val="22"/>
        </w:rPr>
        <w:t>ms</w:t>
      </w:r>
      <w:proofErr w:type="spellEnd"/>
      <w:r w:rsidR="005C7501" w:rsidRPr="005C7501">
        <w:rPr>
          <w:rFonts w:ascii="Arial" w:hAnsi="Arial" w:cs="Arial"/>
          <w:sz w:val="22"/>
        </w:rPr>
        <w:t>, resolution was 50,000 at 200 Th).</w:t>
      </w:r>
      <w:r w:rsidR="005C7501">
        <w:rPr>
          <w:rFonts w:ascii="Arial" w:hAnsi="Arial" w:cs="Arial"/>
          <w:sz w:val="22"/>
        </w:rPr>
        <w:t xml:space="preserve"> </w:t>
      </w:r>
    </w:p>
    <w:p w14:paraId="022F1FCE" w14:textId="1F5671FC" w:rsidR="005C7501" w:rsidRPr="005C7501" w:rsidRDefault="005C7501" w:rsidP="005C7501">
      <w:pPr>
        <w:pStyle w:val="Body"/>
        <w:spacing w:after="120" w:line="240" w:lineRule="auto"/>
        <w:jc w:val="both"/>
        <w:rPr>
          <w:rFonts w:ascii="Arial" w:hAnsi="Arial" w:cs="Arial"/>
          <w:b/>
          <w:bCs/>
          <w:sz w:val="22"/>
        </w:rPr>
      </w:pPr>
      <w:r w:rsidRPr="005C7501">
        <w:rPr>
          <w:rFonts w:ascii="Arial" w:hAnsi="Arial" w:cs="Arial"/>
          <w:b/>
          <w:bCs/>
          <w:sz w:val="22"/>
        </w:rPr>
        <w:t>Data Analysis</w:t>
      </w:r>
    </w:p>
    <w:p w14:paraId="525F9B1A" w14:textId="417467DC" w:rsidR="005C7501" w:rsidRPr="005C7501" w:rsidRDefault="005C7501" w:rsidP="005C7501">
      <w:pPr>
        <w:pStyle w:val="Body"/>
        <w:spacing w:after="120" w:line="240" w:lineRule="auto"/>
        <w:jc w:val="both"/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/>
          <w:sz w:val="22"/>
        </w:rPr>
        <w:t>Data analysis will be platform and purpose specific.</w:t>
      </w:r>
    </w:p>
    <w:p w14:paraId="1B26A88F" w14:textId="77777777" w:rsidR="00E62B24" w:rsidRPr="00E62B24" w:rsidRDefault="00E62B24" w:rsidP="00E62B24">
      <w:pPr>
        <w:pStyle w:val="Body"/>
        <w:spacing w:after="120" w:line="240" w:lineRule="auto"/>
        <w:ind w:firstLine="720"/>
        <w:jc w:val="both"/>
        <w:rPr>
          <w:rFonts w:ascii="Arial" w:hAnsi="Arial" w:cs="Arial"/>
          <w:sz w:val="22"/>
        </w:rPr>
      </w:pPr>
      <w:r w:rsidRPr="00E62B24">
        <w:rPr>
          <w:rFonts w:ascii="Arial" w:hAnsi="Arial" w:cs="Arial"/>
          <w:sz w:val="22"/>
        </w:rPr>
        <w:t xml:space="preserve"> </w:t>
      </w:r>
    </w:p>
    <w:p w14:paraId="351D2CDF" w14:textId="77777777" w:rsidR="00E62B24" w:rsidRPr="00E62B24" w:rsidRDefault="00E62B24" w:rsidP="00E62B24">
      <w:pPr>
        <w:ind w:left="-5"/>
        <w:rPr>
          <w:rFonts w:ascii="Arial" w:hAnsi="Arial" w:cs="Arial"/>
          <w:sz w:val="22"/>
          <w:szCs w:val="22"/>
        </w:rPr>
      </w:pPr>
      <w:r w:rsidRPr="00E62B24">
        <w:rPr>
          <w:rFonts w:ascii="Arial" w:hAnsi="Arial" w:cs="Arial"/>
          <w:sz w:val="22"/>
          <w:szCs w:val="22"/>
        </w:rPr>
        <w:t>REFERENCES</w:t>
      </w:r>
    </w:p>
    <w:p w14:paraId="77A2583E" w14:textId="77777777" w:rsidR="005C7501" w:rsidRPr="005C7501" w:rsidRDefault="005C7501" w:rsidP="00E62B24">
      <w:pPr>
        <w:rPr>
          <w:rFonts w:ascii="Arial" w:eastAsia="Times New Roman" w:hAnsi="Arial" w:cs="Arial"/>
          <w:sz w:val="22"/>
          <w:szCs w:val="22"/>
        </w:rPr>
      </w:pPr>
    </w:p>
    <w:p w14:paraId="0D390F07" w14:textId="154C6B45" w:rsidR="005C7501" w:rsidRPr="005C7501" w:rsidRDefault="005C7501" w:rsidP="005C7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5C7501">
        <w:rPr>
          <w:rFonts w:ascii="Arial" w:hAnsi="Arial" w:cs="Arial"/>
          <w:color w:val="000000" w:themeColor="text1"/>
          <w:sz w:val="22"/>
          <w:szCs w:val="22"/>
        </w:rPr>
        <w:t>1. Abu-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Remaileh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M,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Wyant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GA, Kim C,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Laqtom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NN, Abbasi M, Chan SH,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Freinkman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E, Sabatini DM. Lysosomal</w:t>
      </w:r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metabolomics reveals V-ATPase- and mTOR-dependent regulation of amino acid efflux from </w:t>
      </w:r>
      <w:proofErr w:type="spellStart"/>
      <w:proofErr w:type="gramStart"/>
      <w:r w:rsidRPr="005C7501">
        <w:rPr>
          <w:rFonts w:ascii="Arial" w:hAnsi="Arial" w:cs="Arial"/>
          <w:color w:val="000000" w:themeColor="text1"/>
          <w:sz w:val="22"/>
          <w:szCs w:val="22"/>
        </w:rPr>
        <w:t>lysosomes.Science</w:t>
      </w:r>
      <w:proofErr w:type="spellEnd"/>
      <w:proofErr w:type="gram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. 2017 Nov 10;358(6364):807-813.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>: 10.1126/</w:t>
      </w:r>
      <w:proofErr w:type="gramStart"/>
      <w:r w:rsidRPr="005C7501">
        <w:rPr>
          <w:rFonts w:ascii="Arial" w:hAnsi="Arial" w:cs="Arial"/>
          <w:color w:val="000000" w:themeColor="text1"/>
          <w:sz w:val="22"/>
          <w:szCs w:val="22"/>
        </w:rPr>
        <w:t>science.aan</w:t>
      </w:r>
      <w:proofErr w:type="gram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6298.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Epub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2017 Oct 26. PMID:29074583; PMCID: PMC5704967.</w:t>
      </w:r>
    </w:p>
    <w:p w14:paraId="2869417C" w14:textId="56BDB4E7" w:rsidR="005C7501" w:rsidRPr="005C7501" w:rsidRDefault="005C7501" w:rsidP="005C75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Wentao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Dong, Nouf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Laqtom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Monther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Abu-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Remaileh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. Sample preparation protocol for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lipidomics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harvesting</w:t>
      </w:r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C7501">
        <w:rPr>
          <w:rFonts w:ascii="Arial" w:hAnsi="Arial" w:cs="Arial"/>
          <w:color w:val="000000" w:themeColor="text1"/>
          <w:sz w:val="22"/>
          <w:szCs w:val="22"/>
        </w:rPr>
        <w:t>using lysosome immunoprecipitation (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Lipidomics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5C7501">
        <w:rPr>
          <w:rFonts w:ascii="Arial" w:hAnsi="Arial" w:cs="Arial"/>
          <w:color w:val="000000" w:themeColor="text1"/>
          <w:sz w:val="22"/>
          <w:szCs w:val="22"/>
        </w:rPr>
        <w:t>LysoIP</w:t>
      </w:r>
      <w:proofErr w:type="spellEnd"/>
      <w:r w:rsidRPr="005C7501">
        <w:rPr>
          <w:rFonts w:ascii="Arial" w:hAnsi="Arial" w:cs="Arial"/>
          <w:color w:val="000000" w:themeColor="text1"/>
          <w:sz w:val="22"/>
          <w:szCs w:val="22"/>
        </w:rPr>
        <w:t>, updated 02/09/21). protocols.io</w:t>
      </w:r>
      <w:r w:rsidRPr="005C75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C7501">
        <w:rPr>
          <w:rFonts w:ascii="Arial" w:hAnsi="Arial" w:cs="Arial"/>
          <w:color w:val="000000" w:themeColor="text1"/>
          <w:sz w:val="22"/>
          <w:szCs w:val="22"/>
        </w:rPr>
        <w:t>https://protocols.io/view/sample-preparation-protocol-for-lipidomics-harvest-br9ym97w</w:t>
      </w:r>
    </w:p>
    <w:p w14:paraId="3B4F4652" w14:textId="46F8ED8A" w:rsidR="00E62B24" w:rsidRPr="005C7501" w:rsidRDefault="005C7501" w:rsidP="00E62B24">
      <w:pPr>
        <w:rPr>
          <w:rFonts w:ascii="Arial" w:eastAsia="Times New Roman" w:hAnsi="Arial" w:cs="Arial"/>
          <w:sz w:val="22"/>
          <w:szCs w:val="22"/>
        </w:rPr>
      </w:pPr>
      <w:r w:rsidRPr="005C7501">
        <w:rPr>
          <w:rFonts w:ascii="Arial" w:eastAsia="Times New Roman" w:hAnsi="Arial" w:cs="Arial"/>
          <w:sz w:val="22"/>
          <w:szCs w:val="22"/>
        </w:rPr>
        <w:t>3.</w:t>
      </w:r>
      <w:r w:rsidR="00E62B24" w:rsidRPr="005C7501">
        <w:rPr>
          <w:rFonts w:ascii="Arial" w:eastAsia="Times New Roman" w:hAnsi="Arial" w:cs="Arial"/>
          <w:sz w:val="22"/>
          <w:szCs w:val="22"/>
        </w:rPr>
        <w:t xml:space="preserve"> McAlister, G. C. </w:t>
      </w:r>
      <w:r w:rsidR="00E62B24" w:rsidRPr="005C7501">
        <w:rPr>
          <w:rFonts w:ascii="Arial" w:eastAsia="Times New Roman" w:hAnsi="Arial" w:cs="Arial"/>
          <w:i/>
          <w:iCs/>
          <w:sz w:val="22"/>
          <w:szCs w:val="22"/>
        </w:rPr>
        <w:t>et al.</w:t>
      </w:r>
      <w:r w:rsidR="00E62B24" w:rsidRPr="005C7501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62B24" w:rsidRPr="005C7501">
        <w:rPr>
          <w:rFonts w:ascii="Arial" w:eastAsia="Times New Roman" w:hAnsi="Arial" w:cs="Arial"/>
          <w:sz w:val="22"/>
          <w:szCs w:val="22"/>
        </w:rPr>
        <w:t>MultiNotch</w:t>
      </w:r>
      <w:proofErr w:type="spellEnd"/>
      <w:r w:rsidR="00E62B24" w:rsidRPr="005C7501">
        <w:rPr>
          <w:rFonts w:ascii="Arial" w:eastAsia="Times New Roman" w:hAnsi="Arial" w:cs="Arial"/>
          <w:sz w:val="22"/>
          <w:szCs w:val="22"/>
        </w:rPr>
        <w:t xml:space="preserve"> MS3 Enables Accurate, Sensitive, and Multiplexed Detection of Differential Expression across Cancer Cell Line Proteomes. </w:t>
      </w:r>
      <w:r w:rsidR="00E62B24" w:rsidRPr="005C7501">
        <w:rPr>
          <w:rFonts w:ascii="Arial" w:eastAsia="Times New Roman" w:hAnsi="Arial" w:cs="Arial"/>
          <w:i/>
          <w:iCs/>
          <w:sz w:val="22"/>
          <w:szCs w:val="22"/>
        </w:rPr>
        <w:t>Analytical chemistry</w:t>
      </w:r>
      <w:r w:rsidR="00E62B24" w:rsidRPr="005C7501">
        <w:rPr>
          <w:rFonts w:ascii="Arial" w:eastAsia="Times New Roman" w:hAnsi="Arial" w:cs="Arial"/>
          <w:sz w:val="22"/>
          <w:szCs w:val="22"/>
        </w:rPr>
        <w:t xml:space="preserve"> </w:t>
      </w:r>
      <w:r w:rsidR="00E62B24" w:rsidRPr="005C7501">
        <w:rPr>
          <w:rFonts w:ascii="Arial" w:eastAsia="Times New Roman" w:hAnsi="Arial" w:cs="Arial"/>
          <w:b/>
          <w:bCs/>
          <w:sz w:val="22"/>
          <w:szCs w:val="22"/>
        </w:rPr>
        <w:t>86</w:t>
      </w:r>
      <w:r w:rsidR="00E62B24" w:rsidRPr="005C7501">
        <w:rPr>
          <w:rFonts w:ascii="Arial" w:eastAsia="Times New Roman" w:hAnsi="Arial" w:cs="Arial"/>
          <w:sz w:val="22"/>
          <w:szCs w:val="22"/>
        </w:rPr>
        <w:t>, 7150</w:t>
      </w:r>
      <w:r>
        <w:rPr>
          <w:rFonts w:ascii="Arial" w:eastAsia="Times New Roman" w:hAnsi="Arial" w:cs="Arial"/>
          <w:sz w:val="22"/>
          <w:szCs w:val="22"/>
        </w:rPr>
        <w:t>-</w:t>
      </w:r>
      <w:r w:rsidR="00E62B24" w:rsidRPr="005C7501">
        <w:rPr>
          <w:rFonts w:ascii="Arial" w:eastAsia="Times New Roman" w:hAnsi="Arial" w:cs="Arial"/>
          <w:sz w:val="22"/>
          <w:szCs w:val="22"/>
        </w:rPr>
        <w:t xml:space="preserve">7158 (2014). </w:t>
      </w:r>
    </w:p>
    <w:p w14:paraId="00A99C0F" w14:textId="77777777" w:rsidR="00E62B24" w:rsidRPr="005C7501" w:rsidRDefault="00E62B24" w:rsidP="00E62B24">
      <w:pPr>
        <w:rPr>
          <w:rFonts w:ascii="Arial" w:hAnsi="Arial" w:cs="Arial"/>
          <w:sz w:val="22"/>
          <w:szCs w:val="22"/>
        </w:rPr>
      </w:pPr>
    </w:p>
    <w:p w14:paraId="2F284DF4" w14:textId="5C1778B9" w:rsidR="00E62B24" w:rsidRPr="001E1FA1" w:rsidRDefault="00E62B24" w:rsidP="00E62B24">
      <w:pPr>
        <w:rPr>
          <w:rFonts w:ascii="Arial" w:hAnsi="Arial" w:cs="Arial"/>
          <w:color w:val="0432FF"/>
          <w:sz w:val="22"/>
          <w:szCs w:val="22"/>
        </w:rPr>
      </w:pPr>
    </w:p>
    <w:sectPr w:rsidR="00E62B24" w:rsidRPr="001E1FA1" w:rsidSect="0055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A5FBD"/>
    <w:multiLevelType w:val="hybridMultilevel"/>
    <w:tmpl w:val="62D4BF68"/>
    <w:lvl w:ilvl="0" w:tplc="871CB1D4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862C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12DD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6AAE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42EA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B01B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DC29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E080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688F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60868"/>
    <w:multiLevelType w:val="hybridMultilevel"/>
    <w:tmpl w:val="40648E0C"/>
    <w:lvl w:ilvl="0" w:tplc="C7AA66D6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8029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961D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D4D1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A656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AFB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26B9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38D2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FE4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3B7C2E"/>
    <w:multiLevelType w:val="hybridMultilevel"/>
    <w:tmpl w:val="E8D01D2E"/>
    <w:lvl w:ilvl="0" w:tplc="842C0CCA">
      <w:start w:val="8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56"/>
    <w:rsid w:val="000132AC"/>
    <w:rsid w:val="000134BC"/>
    <w:rsid w:val="000236E0"/>
    <w:rsid w:val="0010605C"/>
    <w:rsid w:val="001E1FA1"/>
    <w:rsid w:val="001F2900"/>
    <w:rsid w:val="00272749"/>
    <w:rsid w:val="003B24E4"/>
    <w:rsid w:val="00404D35"/>
    <w:rsid w:val="00427609"/>
    <w:rsid w:val="004307B4"/>
    <w:rsid w:val="004539D2"/>
    <w:rsid w:val="00497A3A"/>
    <w:rsid w:val="00554A1C"/>
    <w:rsid w:val="00556570"/>
    <w:rsid w:val="005A5C51"/>
    <w:rsid w:val="005A6D50"/>
    <w:rsid w:val="005C7501"/>
    <w:rsid w:val="00621605"/>
    <w:rsid w:val="00672E84"/>
    <w:rsid w:val="00690C04"/>
    <w:rsid w:val="00741F6E"/>
    <w:rsid w:val="007F6CEF"/>
    <w:rsid w:val="009349DE"/>
    <w:rsid w:val="00953299"/>
    <w:rsid w:val="00985BFB"/>
    <w:rsid w:val="009D3E78"/>
    <w:rsid w:val="00A475D2"/>
    <w:rsid w:val="00A55BFE"/>
    <w:rsid w:val="00B85D8B"/>
    <w:rsid w:val="00C637FF"/>
    <w:rsid w:val="00D4368D"/>
    <w:rsid w:val="00DD0358"/>
    <w:rsid w:val="00E62B24"/>
    <w:rsid w:val="00F13056"/>
    <w:rsid w:val="00F200C1"/>
    <w:rsid w:val="00F91596"/>
    <w:rsid w:val="00F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748C"/>
  <w15:chartTrackingRefBased/>
  <w15:docId w15:val="{A7C462B5-B708-B647-A1E7-19B3226A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01"/>
  </w:style>
  <w:style w:type="paragraph" w:styleId="Heading1">
    <w:name w:val="heading 1"/>
    <w:next w:val="Normal"/>
    <w:link w:val="Heading1Char"/>
    <w:uiPriority w:val="9"/>
    <w:qFormat/>
    <w:rsid w:val="00E62B24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B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2B24"/>
    <w:rPr>
      <w:rFonts w:ascii="Arial" w:eastAsia="Arial" w:hAnsi="Arial" w:cs="Arial"/>
      <w:b/>
      <w:color w:val="000000"/>
      <w:sz w:val="18"/>
      <w:u w:val="single" w:color="000000"/>
    </w:rPr>
  </w:style>
  <w:style w:type="paragraph" w:customStyle="1" w:styleId="Body">
    <w:name w:val="Body"/>
    <w:link w:val="BodyChar"/>
    <w:rsid w:val="00E62B2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Calibri" w:hAnsi="Times New Roman" w:cs="Calibri"/>
      <w:color w:val="000000"/>
      <w:szCs w:val="22"/>
      <w:u w:color="000000"/>
      <w:bdr w:val="nil"/>
    </w:rPr>
  </w:style>
  <w:style w:type="character" w:customStyle="1" w:styleId="BodyChar">
    <w:name w:val="Body Char"/>
    <w:basedOn w:val="DefaultParagraphFont"/>
    <w:link w:val="Body"/>
    <w:rsid w:val="00E62B24"/>
    <w:rPr>
      <w:rFonts w:ascii="Times New Roman" w:eastAsia="Calibri" w:hAnsi="Times New Roman" w:cs="Calibri"/>
      <w:color w:val="000000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62B24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E62B24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5329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2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0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47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8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1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6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ocols.io/view/sample-preparation-protocol-for-lipidomics-harvest-br9ym9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ocols.io/view/sample-preparation-protocol-for-lipidomics-harvest-br9ym97w" TargetMode="External"/><Relationship Id="rId5" Type="http://schemas.openxmlformats.org/officeDocument/2006/relationships/hyperlink" Target="https://protocols.io/view/sample-preparation-protocol-for-lipidomics-harvest-br9ym97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 Swarup</dc:creator>
  <cp:keywords/>
  <dc:description/>
  <cp:lastModifiedBy>Harper, Wade</cp:lastModifiedBy>
  <cp:revision>4</cp:revision>
  <dcterms:created xsi:type="dcterms:W3CDTF">2021-07-29T13:31:00Z</dcterms:created>
  <dcterms:modified xsi:type="dcterms:W3CDTF">2021-07-29T13:37:00Z</dcterms:modified>
</cp:coreProperties>
</file>