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BB5B1" w14:textId="4715446B" w:rsidR="004C385D" w:rsidRPr="00876E5F" w:rsidRDefault="003A12D8">
      <w:pPr>
        <w:rPr>
          <w:b/>
          <w:bCs/>
        </w:rPr>
      </w:pPr>
      <w:r w:rsidRPr="00876E5F">
        <w:rPr>
          <w:b/>
          <w:bCs/>
        </w:rPr>
        <w:t xml:space="preserve">Induction of aggregation in alpha-synuclein-expressing cells by treatment with </w:t>
      </w:r>
      <w:r w:rsidR="00876E5F" w:rsidRPr="00876E5F">
        <w:rPr>
          <w:b/>
          <w:bCs/>
        </w:rPr>
        <w:t>preformed fibrils (</w:t>
      </w:r>
      <w:r w:rsidRPr="00876E5F">
        <w:rPr>
          <w:b/>
          <w:bCs/>
        </w:rPr>
        <w:t>PFFs</w:t>
      </w:r>
      <w:r w:rsidR="00876E5F" w:rsidRPr="00876E5F">
        <w:rPr>
          <w:b/>
          <w:bCs/>
        </w:rPr>
        <w:t>)</w:t>
      </w:r>
    </w:p>
    <w:p w14:paraId="698A0C02" w14:textId="77777777" w:rsidR="00C729FF" w:rsidRDefault="00C729FF"/>
    <w:p w14:paraId="7B85C683" w14:textId="77777777" w:rsidR="00C729FF" w:rsidRPr="006935F0" w:rsidRDefault="00C729FF" w:rsidP="00C729FF">
      <w:r>
        <w:rPr>
          <w:b/>
          <w:bCs/>
        </w:rPr>
        <w:t xml:space="preserve">Authors: </w:t>
      </w:r>
      <w:r w:rsidRPr="006935F0">
        <w:t>Cole S Sitron</w:t>
      </w:r>
      <w:r w:rsidRPr="006935F0">
        <w:rPr>
          <w:vertAlign w:val="superscript"/>
        </w:rPr>
        <w:t>1</w:t>
      </w:r>
      <w:r w:rsidRPr="006935F0">
        <w:t xml:space="preserve">, </w:t>
      </w:r>
      <w:r>
        <w:t>Victoria A Trinkaus</w:t>
      </w:r>
      <w:r w:rsidRPr="006935F0">
        <w:rPr>
          <w:vertAlign w:val="superscript"/>
        </w:rPr>
        <w:t>1</w:t>
      </w:r>
      <w:r>
        <w:t xml:space="preserve">, </w:t>
      </w:r>
      <w:r w:rsidRPr="006935F0">
        <w:t>F Ulrich Hartl</w:t>
      </w:r>
      <w:r w:rsidRPr="006935F0">
        <w:rPr>
          <w:vertAlign w:val="superscript"/>
        </w:rPr>
        <w:t>1</w:t>
      </w:r>
    </w:p>
    <w:p w14:paraId="561D8573" w14:textId="77777777" w:rsidR="00C729FF" w:rsidRPr="006935F0" w:rsidRDefault="00C729FF" w:rsidP="00C729FF">
      <w:r w:rsidRPr="006935F0">
        <w:rPr>
          <w:vertAlign w:val="superscript"/>
        </w:rPr>
        <w:t>1</w:t>
      </w:r>
      <w:r w:rsidRPr="006935F0">
        <w:t>Department of Cellular Biochemistry, Max Planck Institute of Biochemistry</w:t>
      </w:r>
    </w:p>
    <w:p w14:paraId="45958257" w14:textId="77777777" w:rsidR="00C729FF" w:rsidRDefault="00C729FF" w:rsidP="00C729FF">
      <w:pPr>
        <w:rPr>
          <w:b/>
          <w:bCs/>
        </w:rPr>
      </w:pPr>
    </w:p>
    <w:p w14:paraId="21424A07" w14:textId="4C8BD079" w:rsidR="00C729FF" w:rsidRPr="00C729FF" w:rsidRDefault="00C729FF">
      <w:pPr>
        <w:rPr>
          <w:b/>
          <w:bCs/>
        </w:rPr>
      </w:pPr>
      <w:r>
        <w:rPr>
          <w:b/>
          <w:bCs/>
        </w:rPr>
        <w:t>Abstract</w:t>
      </w:r>
    </w:p>
    <w:p w14:paraId="432A3D8A" w14:textId="6FFB92F9" w:rsidR="003A12D8" w:rsidRDefault="00876E5F">
      <w:r>
        <w:t>This protocol details how to efficiently produce alpha-synuclein aggregates in cells by templating the misfolding of intracellular alpha-synuclein through treatment with preformed fibrils of alpha-synuclein (PFFs).</w:t>
      </w:r>
    </w:p>
    <w:p w14:paraId="244DAD9B" w14:textId="22CED71E" w:rsidR="00876E5F" w:rsidRDefault="00876E5F">
      <w:r>
        <w:t>Keywords: alpha-synuclein, preformed fibrils, PFF, Parkinson’s Disease</w:t>
      </w:r>
    </w:p>
    <w:p w14:paraId="3CADF591" w14:textId="77777777" w:rsidR="00876E5F" w:rsidRDefault="00876E5F"/>
    <w:p w14:paraId="64A57B44" w14:textId="1A0E91C9" w:rsidR="003A12D8" w:rsidRDefault="003A12D8">
      <w:pPr>
        <w:rPr>
          <w:b/>
        </w:rPr>
      </w:pPr>
      <w:r>
        <w:rPr>
          <w:b/>
        </w:rPr>
        <w:t>Materials</w:t>
      </w:r>
    </w:p>
    <w:p w14:paraId="3BFB917B" w14:textId="77777777" w:rsidR="003A12D8" w:rsidRPr="003A12D8" w:rsidRDefault="003A12D8">
      <w:pPr>
        <w:rPr>
          <w:b/>
        </w:rPr>
      </w:pPr>
    </w:p>
    <w:p w14:paraId="548E03E9" w14:textId="77777777" w:rsidR="003A12D8" w:rsidRDefault="003A12D8" w:rsidP="003A12D8">
      <w:pPr>
        <w:rPr>
          <w:u w:val="single"/>
        </w:rPr>
      </w:pPr>
      <w:r>
        <w:rPr>
          <w:u w:val="single"/>
        </w:rPr>
        <w:t>Cell culture</w:t>
      </w:r>
    </w:p>
    <w:p w14:paraId="6738E29A" w14:textId="1E164F35" w:rsidR="003A12D8" w:rsidRDefault="003A12D8" w:rsidP="003A12D8">
      <w:r>
        <w:t>Cells expressing alpha</w:t>
      </w:r>
      <w:r w:rsidR="00876E5F">
        <w:t>-</w:t>
      </w:r>
      <w:r>
        <w:t>synuclein</w:t>
      </w:r>
    </w:p>
    <w:p w14:paraId="0C5A0970" w14:textId="77777777" w:rsidR="003A12D8" w:rsidRDefault="003A12D8" w:rsidP="003A12D8"/>
    <w:p w14:paraId="7528B8D8" w14:textId="77777777" w:rsidR="003A12D8" w:rsidRDefault="003A12D8" w:rsidP="003A12D8">
      <w:pPr>
        <w:rPr>
          <w:u w:val="single"/>
        </w:rPr>
      </w:pPr>
      <w:r>
        <w:rPr>
          <w:u w:val="single"/>
        </w:rPr>
        <w:t>Reagents</w:t>
      </w:r>
    </w:p>
    <w:p w14:paraId="36482849" w14:textId="77777777" w:rsidR="003A12D8" w:rsidRDefault="003A12D8" w:rsidP="003A12D8">
      <w:pPr>
        <w:numPr>
          <w:ilvl w:val="0"/>
          <w:numId w:val="2"/>
        </w:numPr>
        <w:spacing w:after="0" w:line="276" w:lineRule="auto"/>
      </w:pPr>
      <w:r>
        <w:t>Appropriate cell culture medium</w:t>
      </w:r>
    </w:p>
    <w:p w14:paraId="366BEAC9" w14:textId="79EE1B64" w:rsidR="003A12D8" w:rsidRDefault="003A12D8" w:rsidP="003A12D8">
      <w:pPr>
        <w:numPr>
          <w:ilvl w:val="0"/>
          <w:numId w:val="2"/>
        </w:numPr>
        <w:spacing w:after="0" w:line="276" w:lineRule="auto"/>
      </w:pPr>
      <w:r>
        <w:t>Lipofectamine 3000 (Thermo Fisher Scientific cat. no. L3000008)</w:t>
      </w:r>
    </w:p>
    <w:p w14:paraId="651AEFEB" w14:textId="36589454" w:rsidR="003A12D8" w:rsidRDefault="00876E5F" w:rsidP="003A12D8">
      <w:pPr>
        <w:numPr>
          <w:ilvl w:val="0"/>
          <w:numId w:val="2"/>
        </w:numPr>
        <w:spacing w:after="0" w:line="276" w:lineRule="auto"/>
      </w:pPr>
      <w:proofErr w:type="spellStart"/>
      <w:r>
        <w:t>OptiMEM</w:t>
      </w:r>
      <w:proofErr w:type="spellEnd"/>
      <w:r w:rsidR="003A12D8">
        <w:t xml:space="preserve"> (Thermo Fisher Scientific cat. no. 31985062)</w:t>
      </w:r>
    </w:p>
    <w:p w14:paraId="5572EE79" w14:textId="3F1A99C4" w:rsidR="003A12D8" w:rsidRDefault="003A12D8" w:rsidP="003A12D8">
      <w:pPr>
        <w:numPr>
          <w:ilvl w:val="0"/>
          <w:numId w:val="2"/>
        </w:numPr>
        <w:spacing w:after="0" w:line="276" w:lineRule="auto"/>
      </w:pPr>
      <w:r>
        <w:t xml:space="preserve">Phosphate-buffered saline (PBS) </w:t>
      </w:r>
      <w:r w:rsidR="00876E5F">
        <w:t>(</w:t>
      </w:r>
      <w:r w:rsidR="00876E5F" w:rsidRPr="00876E5F">
        <w:t>Thermo Fisher Scientific cat. no. 20012068</w:t>
      </w:r>
      <w:r w:rsidR="00876E5F">
        <w:t>)</w:t>
      </w:r>
    </w:p>
    <w:p w14:paraId="5AC59A56" w14:textId="2671515E" w:rsidR="003A12D8" w:rsidRDefault="003A12D8" w:rsidP="003A12D8">
      <w:pPr>
        <w:numPr>
          <w:ilvl w:val="0"/>
          <w:numId w:val="2"/>
        </w:numPr>
        <w:spacing w:after="0" w:line="276" w:lineRule="auto"/>
      </w:pPr>
      <w:r>
        <w:t>5 mg/ml alpha synuclein preformed fibrils (PFFs) (see dx.doi.org/10.17504/</w:t>
      </w:r>
      <w:proofErr w:type="spellStart"/>
      <w:r>
        <w:t>protocols.io.btynnpve</w:t>
      </w:r>
      <w:proofErr w:type="spellEnd"/>
      <w:r>
        <w:t xml:space="preserve"> for purification protocol)</w:t>
      </w:r>
    </w:p>
    <w:p w14:paraId="290EA444" w14:textId="77777777" w:rsidR="003A12D8" w:rsidRDefault="003A12D8" w:rsidP="003A12D8">
      <w:pPr>
        <w:spacing w:after="0" w:line="276" w:lineRule="auto"/>
        <w:ind w:left="720"/>
      </w:pPr>
    </w:p>
    <w:p w14:paraId="15E135A0" w14:textId="77777777" w:rsidR="003A12D8" w:rsidRDefault="003A12D8" w:rsidP="003A12D8">
      <w:pPr>
        <w:rPr>
          <w:u w:val="single"/>
        </w:rPr>
      </w:pPr>
      <w:r>
        <w:rPr>
          <w:u w:val="single"/>
        </w:rPr>
        <w:t>Equipment</w:t>
      </w:r>
    </w:p>
    <w:p w14:paraId="7BD2EEF9" w14:textId="3C401B66" w:rsidR="003A12D8" w:rsidRDefault="003A12D8" w:rsidP="003A12D8">
      <w:pPr>
        <w:numPr>
          <w:ilvl w:val="0"/>
          <w:numId w:val="1"/>
        </w:numPr>
        <w:spacing w:after="0" w:line="276" w:lineRule="auto"/>
      </w:pPr>
      <w:proofErr w:type="spellStart"/>
      <w:r>
        <w:t>BioRuptor</w:t>
      </w:r>
      <w:proofErr w:type="spellEnd"/>
      <w:r>
        <w:t xml:space="preserve"> Plus </w:t>
      </w:r>
      <w:proofErr w:type="spellStart"/>
      <w:r>
        <w:t>sonicator</w:t>
      </w:r>
      <w:proofErr w:type="spellEnd"/>
      <w:r>
        <w:t xml:space="preserve"> (</w:t>
      </w:r>
      <w:proofErr w:type="spellStart"/>
      <w:r>
        <w:t>Diagenode</w:t>
      </w:r>
      <w:proofErr w:type="spellEnd"/>
      <w:r>
        <w:t xml:space="preserve"> cat. no. B01020001) (or equivalent)</w:t>
      </w:r>
    </w:p>
    <w:p w14:paraId="0267E469" w14:textId="66B24724" w:rsidR="003A12D8" w:rsidRDefault="003A12D8" w:rsidP="003A12D8">
      <w:pPr>
        <w:spacing w:after="0" w:line="276" w:lineRule="auto"/>
      </w:pPr>
    </w:p>
    <w:p w14:paraId="54CAE63A" w14:textId="77777777" w:rsidR="003A12D8" w:rsidRDefault="003A12D8" w:rsidP="003A12D8">
      <w:pPr>
        <w:rPr>
          <w:b/>
        </w:rPr>
      </w:pPr>
    </w:p>
    <w:p w14:paraId="61468F93" w14:textId="2291F759" w:rsidR="003A12D8" w:rsidRDefault="003A12D8" w:rsidP="003A12D8">
      <w:pPr>
        <w:rPr>
          <w:b/>
        </w:rPr>
      </w:pPr>
      <w:r>
        <w:rPr>
          <w:b/>
        </w:rPr>
        <w:t>Induction of alpha synuclein aggregation</w:t>
      </w:r>
    </w:p>
    <w:p w14:paraId="6AFEF788" w14:textId="77777777" w:rsidR="003A12D8" w:rsidRDefault="003A12D8" w:rsidP="003A12D8"/>
    <w:p w14:paraId="526B0348" w14:textId="7D825727" w:rsidR="003A12D8" w:rsidRDefault="003A12D8" w:rsidP="003A12D8">
      <w:pPr>
        <w:numPr>
          <w:ilvl w:val="0"/>
          <w:numId w:val="4"/>
        </w:numPr>
        <w:spacing w:after="0" w:line="276" w:lineRule="auto"/>
      </w:pPr>
      <w:r>
        <w:t xml:space="preserve">Seed cells into plates such that they are ~25% confluent the following day. </w:t>
      </w:r>
    </w:p>
    <w:p w14:paraId="0C5676F8" w14:textId="0D708535" w:rsidR="003A12D8" w:rsidRDefault="003A12D8" w:rsidP="003A12D8">
      <w:pPr>
        <w:numPr>
          <w:ilvl w:val="1"/>
          <w:numId w:val="4"/>
        </w:numPr>
        <w:spacing w:after="0" w:line="276" w:lineRule="auto"/>
      </w:pPr>
      <w:r>
        <w:t xml:space="preserve">For our HEK cells, the correct seeding density is </w:t>
      </w:r>
      <w:r w:rsidR="009119AF">
        <w:t>~</w:t>
      </w:r>
      <w:r>
        <w:t>250 cells/mm</w:t>
      </w:r>
      <w:r>
        <w:rPr>
          <w:vertAlign w:val="superscript"/>
        </w:rPr>
        <w:t>2</w:t>
      </w:r>
      <w:r>
        <w:t>, which is equivalent to 100,000 cells in a 12-well dish.</w:t>
      </w:r>
    </w:p>
    <w:p w14:paraId="6E69CA21" w14:textId="37AE4E63" w:rsidR="003A12D8" w:rsidRDefault="003A12D8" w:rsidP="003A12D8">
      <w:pPr>
        <w:numPr>
          <w:ilvl w:val="0"/>
          <w:numId w:val="4"/>
        </w:numPr>
        <w:spacing w:after="0" w:line="276" w:lineRule="auto"/>
      </w:pPr>
      <w:r>
        <w:lastRenderedPageBreak/>
        <w:t xml:space="preserve">On the following day, warm PBS and </w:t>
      </w:r>
      <w:proofErr w:type="spellStart"/>
      <w:r w:rsidR="00876E5F">
        <w:t>OptiMEM</w:t>
      </w:r>
      <w:proofErr w:type="spellEnd"/>
      <w:r>
        <w:t xml:space="preserve"> to 37C, thaw an aliquot of PFFs, and (if using) allow lipofectamine to reach room temperature. </w:t>
      </w:r>
    </w:p>
    <w:p w14:paraId="6B7C402F" w14:textId="207CF597" w:rsidR="003A12D8" w:rsidRDefault="003A12D8" w:rsidP="003A12D8">
      <w:pPr>
        <w:numPr>
          <w:ilvl w:val="1"/>
          <w:numId w:val="4"/>
        </w:numPr>
        <w:spacing w:after="0" w:line="276" w:lineRule="auto"/>
      </w:pPr>
      <w:r>
        <w:t>Note: Lipofectamine greatly increases the ability of PFFs to nucleate intracellular alpha synuclein aggregation, perhaps by altering the endocytic route that PFFs use to enter the cell. It is therefore not recommended to use lipofectamine if the route of PFF entry is a concern in your experiment. Lipofectamine is additionally excessively toxic and should therefore be avoided in some cell types.</w:t>
      </w:r>
    </w:p>
    <w:p w14:paraId="2652329F" w14:textId="77777777" w:rsidR="003A12D8" w:rsidRDefault="003A12D8" w:rsidP="003A12D8">
      <w:pPr>
        <w:numPr>
          <w:ilvl w:val="0"/>
          <w:numId w:val="4"/>
        </w:numPr>
        <w:spacing w:after="0" w:line="276" w:lineRule="auto"/>
      </w:pPr>
      <w:r>
        <w:t xml:space="preserve">Dilute the thawed PFFs 1:20 into an </w:t>
      </w:r>
      <w:proofErr w:type="spellStart"/>
      <w:r>
        <w:t>eppendorf</w:t>
      </w:r>
      <w:proofErr w:type="spellEnd"/>
      <w:r>
        <w:t xml:space="preserve"> containing PBS. </w:t>
      </w:r>
    </w:p>
    <w:p w14:paraId="18B73001" w14:textId="197AD131" w:rsidR="003A12D8" w:rsidRDefault="003A12D8" w:rsidP="003A12D8">
      <w:pPr>
        <w:numPr>
          <w:ilvl w:val="1"/>
          <w:numId w:val="4"/>
        </w:numPr>
        <w:spacing w:after="0" w:line="276" w:lineRule="auto"/>
      </w:pPr>
      <w:r>
        <w:t xml:space="preserve">Note: the final volume must be between 100 and 300 ul for proper sonication in the </w:t>
      </w:r>
      <w:proofErr w:type="spellStart"/>
      <w:r>
        <w:t>Bioruptor</w:t>
      </w:r>
      <w:proofErr w:type="spellEnd"/>
      <w:r>
        <w:t xml:space="preserve"> Plus.</w:t>
      </w:r>
    </w:p>
    <w:p w14:paraId="46B9639D" w14:textId="4AB6096F" w:rsidR="003A12D8" w:rsidRDefault="003A12D8" w:rsidP="003A12D8">
      <w:pPr>
        <w:numPr>
          <w:ilvl w:val="0"/>
          <w:numId w:val="4"/>
        </w:numPr>
        <w:spacing w:after="0" w:line="276" w:lineRule="auto"/>
      </w:pPr>
      <w:r>
        <w:t xml:space="preserve">Sonicate the PFFs in the </w:t>
      </w:r>
      <w:proofErr w:type="spellStart"/>
      <w:r w:rsidR="009119AF">
        <w:t>Bioruptor</w:t>
      </w:r>
      <w:proofErr w:type="spellEnd"/>
      <w:r w:rsidR="009119AF">
        <w:t xml:space="preserve"> Plus on high for 25 cycles of 5 seconds on and 5 seconds off at 4C.</w:t>
      </w:r>
    </w:p>
    <w:p w14:paraId="512F624A" w14:textId="77777777" w:rsidR="003A12D8" w:rsidRDefault="003A12D8" w:rsidP="003A12D8">
      <w:pPr>
        <w:numPr>
          <w:ilvl w:val="1"/>
          <w:numId w:val="4"/>
        </w:numPr>
        <w:spacing w:after="0" w:line="276" w:lineRule="auto"/>
      </w:pPr>
      <w:r>
        <w:t>Note: Sonication breaks up the PFFs into smaller, more nucleation-competent fibrils.</w:t>
      </w:r>
    </w:p>
    <w:p w14:paraId="3FC83442" w14:textId="77777777" w:rsidR="009119AF" w:rsidRDefault="003A12D8" w:rsidP="003A12D8">
      <w:pPr>
        <w:numPr>
          <w:ilvl w:val="0"/>
          <w:numId w:val="4"/>
        </w:numPr>
        <w:spacing w:after="0" w:line="276" w:lineRule="auto"/>
      </w:pPr>
      <w:r>
        <w:t>Make a master mix of PFF and PBS solutions</w:t>
      </w:r>
    </w:p>
    <w:p w14:paraId="477E1540" w14:textId="468F472B" w:rsidR="009119AF" w:rsidRDefault="009119AF" w:rsidP="009119AF">
      <w:pPr>
        <w:numPr>
          <w:ilvl w:val="1"/>
          <w:numId w:val="4"/>
        </w:numPr>
        <w:spacing w:after="0" w:line="276" w:lineRule="auto"/>
      </w:pPr>
      <w:r>
        <w:t>20 ul of sonicated &amp; diluted PFFs should be added per mm</w:t>
      </w:r>
      <w:r>
        <w:rPr>
          <w:vertAlign w:val="superscript"/>
        </w:rPr>
        <w:t xml:space="preserve">2 </w:t>
      </w:r>
      <w:r>
        <w:t>of plate area (5 ug alpha-synuclein/mm</w:t>
      </w:r>
      <w:r>
        <w:rPr>
          <w:vertAlign w:val="superscript"/>
        </w:rPr>
        <w:t>2</w:t>
      </w:r>
      <w:r>
        <w:t>)</w:t>
      </w:r>
    </w:p>
    <w:p w14:paraId="01AA28AC" w14:textId="4CA97F37" w:rsidR="009119AF" w:rsidRDefault="009119AF" w:rsidP="009119AF">
      <w:pPr>
        <w:numPr>
          <w:ilvl w:val="2"/>
          <w:numId w:val="4"/>
        </w:numPr>
        <w:spacing w:after="0" w:line="276" w:lineRule="auto"/>
      </w:pPr>
      <w:r>
        <w:t>For a 12-well plate, this would be 40 ul of sonicated &amp; diluted PFFs.</w:t>
      </w:r>
    </w:p>
    <w:p w14:paraId="2A4A6055" w14:textId="26302958" w:rsidR="009119AF" w:rsidRDefault="009119AF" w:rsidP="009119AF">
      <w:pPr>
        <w:numPr>
          <w:ilvl w:val="1"/>
          <w:numId w:val="4"/>
        </w:numPr>
        <w:spacing w:after="0" w:line="276" w:lineRule="auto"/>
      </w:pPr>
      <w:r>
        <w:t xml:space="preserve">Master mixes should contain a ratio of </w:t>
      </w:r>
      <w:r w:rsidR="003A12D8">
        <w:t xml:space="preserve">50 ul </w:t>
      </w:r>
      <w:proofErr w:type="spellStart"/>
      <w:proofErr w:type="gramStart"/>
      <w:r w:rsidR="00876E5F">
        <w:t>OptiMEM</w:t>
      </w:r>
      <w:proofErr w:type="spellEnd"/>
      <w:r>
        <w:t xml:space="preserve"> :</w:t>
      </w:r>
      <w:proofErr w:type="gramEnd"/>
      <w:r w:rsidR="003A12D8">
        <w:t xml:space="preserve"> 20 ul sonicated</w:t>
      </w:r>
      <w:r>
        <w:t xml:space="preserve"> &amp; diluted</w:t>
      </w:r>
      <w:r w:rsidR="003A12D8">
        <w:t xml:space="preserve"> PFFs </w:t>
      </w:r>
      <w:r>
        <w:t>(</w:t>
      </w:r>
      <w:r w:rsidR="003A12D8">
        <w:t>or PBS as a control</w:t>
      </w:r>
      <w:r>
        <w:t>)</w:t>
      </w:r>
      <w:r w:rsidR="003A12D8">
        <w:t xml:space="preserve"> </w:t>
      </w:r>
      <w:r>
        <w:t>:</w:t>
      </w:r>
      <w:r w:rsidR="003A12D8">
        <w:t xml:space="preserve"> 3 ul of lipofectamine</w:t>
      </w:r>
      <w:r>
        <w:t xml:space="preserve"> 3000</w:t>
      </w:r>
    </w:p>
    <w:p w14:paraId="2AE8DB80" w14:textId="6CB9CA2B" w:rsidR="009119AF" w:rsidRDefault="009119AF" w:rsidP="009119AF">
      <w:pPr>
        <w:numPr>
          <w:ilvl w:val="2"/>
          <w:numId w:val="4"/>
        </w:numPr>
        <w:spacing w:after="0" w:line="276" w:lineRule="auto"/>
      </w:pPr>
      <w:r>
        <w:t xml:space="preserve">For a 12-well plate, 100 </w:t>
      </w:r>
      <w:proofErr w:type="spellStart"/>
      <w:proofErr w:type="gramStart"/>
      <w:r w:rsidR="00876E5F">
        <w:t>OptiMEM</w:t>
      </w:r>
      <w:proofErr w:type="spellEnd"/>
      <w:r>
        <w:t xml:space="preserve"> :</w:t>
      </w:r>
      <w:proofErr w:type="gramEnd"/>
      <w:r>
        <w:t xml:space="preserve"> 40 ul sonicated &amp; diluted PFFs/PBS : 6 ul lipofectamine 300 should be used.</w:t>
      </w:r>
    </w:p>
    <w:p w14:paraId="21DA8C13" w14:textId="117A1D9C" w:rsidR="003A12D8" w:rsidRDefault="003A12D8" w:rsidP="009119AF">
      <w:pPr>
        <w:numPr>
          <w:ilvl w:val="1"/>
          <w:numId w:val="4"/>
        </w:numPr>
        <w:spacing w:after="0" w:line="276" w:lineRule="auto"/>
      </w:pPr>
      <w:r>
        <w:t xml:space="preserve">If using lipofectamine, first incubate the lipofectamine </w:t>
      </w:r>
      <w:r w:rsidR="009119AF">
        <w:t xml:space="preserve">3000 </w:t>
      </w:r>
      <w:r>
        <w:t xml:space="preserve">in </w:t>
      </w:r>
      <w:proofErr w:type="spellStart"/>
      <w:r w:rsidR="00876E5F">
        <w:t>OptiMEM</w:t>
      </w:r>
      <w:proofErr w:type="spellEnd"/>
      <w:r>
        <w:t xml:space="preserve"> for 5 minutes before adding PFFs or PBS.</w:t>
      </w:r>
      <w:r w:rsidR="009119AF">
        <w:t xml:space="preserve"> Gently vortex upon addition of lipofectamine 3000.</w:t>
      </w:r>
    </w:p>
    <w:p w14:paraId="583C6A8D" w14:textId="7729DFA2" w:rsidR="003A12D8" w:rsidRDefault="009119AF" w:rsidP="003A12D8">
      <w:pPr>
        <w:numPr>
          <w:ilvl w:val="0"/>
          <w:numId w:val="4"/>
        </w:numPr>
        <w:spacing w:after="0" w:line="276" w:lineRule="auto"/>
      </w:pPr>
      <w:r>
        <w:t>After addition of PFFs/PBS, gently vortex master mix</w:t>
      </w:r>
      <w:r w:rsidR="003A12D8">
        <w:t xml:space="preserve"> solutions </w:t>
      </w:r>
      <w:r>
        <w:t xml:space="preserve">and incubate </w:t>
      </w:r>
      <w:r w:rsidR="003A12D8">
        <w:t>for 10 minutes at room temperature.</w:t>
      </w:r>
    </w:p>
    <w:p w14:paraId="20D07F29" w14:textId="59693F89" w:rsidR="003A12D8" w:rsidRDefault="003A12D8" w:rsidP="003A12D8">
      <w:pPr>
        <w:numPr>
          <w:ilvl w:val="0"/>
          <w:numId w:val="4"/>
        </w:numPr>
        <w:spacing w:after="0" w:line="276" w:lineRule="auto"/>
      </w:pPr>
      <w:r>
        <w:t xml:space="preserve">Add </w:t>
      </w:r>
      <w:r w:rsidR="009119AF">
        <w:t>master mix</w:t>
      </w:r>
      <w:r>
        <w:t xml:space="preserve"> solutions dropwise to cells</w:t>
      </w:r>
      <w:r w:rsidR="009119AF">
        <w:t xml:space="preserve">, gently </w:t>
      </w:r>
      <w:proofErr w:type="spellStart"/>
      <w:r w:rsidR="009119AF">
        <w:t>vortexing</w:t>
      </w:r>
      <w:proofErr w:type="spellEnd"/>
      <w:r w:rsidR="009119AF">
        <w:t xml:space="preserve"> before adding to each well.</w:t>
      </w:r>
    </w:p>
    <w:p w14:paraId="79AB1CDC" w14:textId="77777777" w:rsidR="003A12D8" w:rsidRDefault="003A12D8" w:rsidP="003A12D8"/>
    <w:p w14:paraId="6060165B" w14:textId="77777777" w:rsidR="003A12D8" w:rsidRDefault="003A12D8" w:rsidP="003A12D8">
      <w:pPr>
        <w:spacing w:after="0" w:line="276" w:lineRule="auto"/>
      </w:pPr>
    </w:p>
    <w:p w14:paraId="5F2CCBA9" w14:textId="78D372D7" w:rsidR="003A12D8" w:rsidRDefault="003A12D8"/>
    <w:p w14:paraId="62E99964" w14:textId="31CDE30A" w:rsidR="00876E5F" w:rsidRPr="00C729FF" w:rsidRDefault="00C729FF">
      <w:pPr>
        <w:rPr>
          <w:b/>
          <w:bCs/>
        </w:rPr>
      </w:pPr>
      <w:r w:rsidRPr="00C729FF">
        <w:rPr>
          <w:b/>
          <w:bCs/>
        </w:rPr>
        <w:t>Relevant references</w:t>
      </w:r>
    </w:p>
    <w:p w14:paraId="26468F5D" w14:textId="5079EE09" w:rsidR="00876E5F" w:rsidRPr="00C729FF" w:rsidRDefault="00876E5F">
      <w:pPr>
        <w:rPr>
          <w:rFonts w:ascii="Calibri" w:hAnsi="Calibri" w:cs="Calibri"/>
          <w:shd w:val="clear" w:color="auto" w:fill="FFFFFF"/>
        </w:rPr>
      </w:pPr>
      <w:proofErr w:type="spellStart"/>
      <w:r w:rsidRPr="00C729FF">
        <w:rPr>
          <w:rFonts w:ascii="Calibri" w:hAnsi="Calibri" w:cs="Calibri"/>
          <w:shd w:val="clear" w:color="auto" w:fill="FFFFFF"/>
        </w:rPr>
        <w:t>Luk</w:t>
      </w:r>
      <w:proofErr w:type="spellEnd"/>
      <w:r w:rsidRPr="00C729FF">
        <w:rPr>
          <w:rFonts w:ascii="Calibri" w:hAnsi="Calibri" w:cs="Calibri"/>
          <w:shd w:val="clear" w:color="auto" w:fill="FFFFFF"/>
        </w:rPr>
        <w:t xml:space="preserve"> KC, Song C, O'Brien P, Stieber A, Branch JR, </w:t>
      </w:r>
      <w:proofErr w:type="spellStart"/>
      <w:r w:rsidRPr="00C729FF">
        <w:rPr>
          <w:rFonts w:ascii="Calibri" w:hAnsi="Calibri" w:cs="Calibri"/>
          <w:shd w:val="clear" w:color="auto" w:fill="FFFFFF"/>
        </w:rPr>
        <w:t>Brunden</w:t>
      </w:r>
      <w:proofErr w:type="spellEnd"/>
      <w:r w:rsidRPr="00C729FF">
        <w:rPr>
          <w:rFonts w:ascii="Calibri" w:hAnsi="Calibri" w:cs="Calibri"/>
          <w:shd w:val="clear" w:color="auto" w:fill="FFFFFF"/>
        </w:rPr>
        <w:t xml:space="preserve"> KR, </w:t>
      </w:r>
      <w:proofErr w:type="spellStart"/>
      <w:r w:rsidRPr="00C729FF">
        <w:rPr>
          <w:rFonts w:ascii="Calibri" w:hAnsi="Calibri" w:cs="Calibri"/>
          <w:shd w:val="clear" w:color="auto" w:fill="FFFFFF"/>
        </w:rPr>
        <w:t>Trojanowski</w:t>
      </w:r>
      <w:proofErr w:type="spellEnd"/>
      <w:r w:rsidRPr="00C729FF">
        <w:rPr>
          <w:rFonts w:ascii="Calibri" w:hAnsi="Calibri" w:cs="Calibri"/>
          <w:shd w:val="clear" w:color="auto" w:fill="FFFFFF"/>
        </w:rPr>
        <w:t xml:space="preserve"> JQ, Lee VM. Exogenous alpha-synuclein fibrils seed the formation of Lewy body-like intracellular inclusions in cultured cells. Proc Natl </w:t>
      </w:r>
      <w:proofErr w:type="spellStart"/>
      <w:r w:rsidRPr="00C729FF">
        <w:rPr>
          <w:rFonts w:ascii="Calibri" w:hAnsi="Calibri" w:cs="Calibri"/>
          <w:shd w:val="clear" w:color="auto" w:fill="FFFFFF"/>
        </w:rPr>
        <w:t>Acad</w:t>
      </w:r>
      <w:proofErr w:type="spellEnd"/>
      <w:r w:rsidRPr="00C729FF">
        <w:rPr>
          <w:rFonts w:ascii="Calibri" w:hAnsi="Calibri" w:cs="Calibri"/>
          <w:shd w:val="clear" w:color="auto" w:fill="FFFFFF"/>
        </w:rPr>
        <w:t xml:space="preserve"> Sci U S A. 2009 Nov 24;106(47):20051-6. </w:t>
      </w:r>
      <w:proofErr w:type="spellStart"/>
      <w:r w:rsidRPr="00C729FF">
        <w:rPr>
          <w:rFonts w:ascii="Calibri" w:hAnsi="Calibri" w:cs="Calibri"/>
          <w:shd w:val="clear" w:color="auto" w:fill="FFFFFF"/>
        </w:rPr>
        <w:t>doi</w:t>
      </w:r>
      <w:proofErr w:type="spellEnd"/>
      <w:r w:rsidRPr="00C729FF">
        <w:rPr>
          <w:rFonts w:ascii="Calibri" w:hAnsi="Calibri" w:cs="Calibri"/>
          <w:shd w:val="clear" w:color="auto" w:fill="FFFFFF"/>
        </w:rPr>
        <w:t xml:space="preserve">: 10.1073/pnas.0908005106. </w:t>
      </w:r>
      <w:proofErr w:type="spellStart"/>
      <w:r w:rsidRPr="00C729FF">
        <w:rPr>
          <w:rFonts w:ascii="Calibri" w:hAnsi="Calibri" w:cs="Calibri"/>
          <w:shd w:val="clear" w:color="auto" w:fill="FFFFFF"/>
        </w:rPr>
        <w:t>Epub</w:t>
      </w:r>
      <w:proofErr w:type="spellEnd"/>
      <w:r w:rsidRPr="00C729FF">
        <w:rPr>
          <w:rFonts w:ascii="Calibri" w:hAnsi="Calibri" w:cs="Calibri"/>
          <w:shd w:val="clear" w:color="auto" w:fill="FFFFFF"/>
        </w:rPr>
        <w:t xml:space="preserve"> 2009 Nov 5. PMID: 19892735; PMCID: PMC2785290.</w:t>
      </w:r>
    </w:p>
    <w:p w14:paraId="564E5795" w14:textId="0CE41D59" w:rsidR="00876E5F" w:rsidRPr="00C729FF" w:rsidRDefault="00876E5F">
      <w:pPr>
        <w:rPr>
          <w:rFonts w:ascii="Calibri" w:hAnsi="Calibri" w:cs="Calibri"/>
        </w:rPr>
      </w:pPr>
      <w:proofErr w:type="spellStart"/>
      <w:r w:rsidRPr="00C729FF">
        <w:rPr>
          <w:rFonts w:ascii="Calibri" w:hAnsi="Calibri" w:cs="Calibri"/>
          <w:shd w:val="clear" w:color="auto" w:fill="FFFFFF"/>
        </w:rPr>
        <w:t>Volpicelli</w:t>
      </w:r>
      <w:proofErr w:type="spellEnd"/>
      <w:r w:rsidRPr="00C729FF">
        <w:rPr>
          <w:rFonts w:ascii="Calibri" w:hAnsi="Calibri" w:cs="Calibri"/>
          <w:shd w:val="clear" w:color="auto" w:fill="FFFFFF"/>
        </w:rPr>
        <w:t xml:space="preserve">-Daley LA, </w:t>
      </w:r>
      <w:proofErr w:type="spellStart"/>
      <w:r w:rsidRPr="00C729FF">
        <w:rPr>
          <w:rFonts w:ascii="Calibri" w:hAnsi="Calibri" w:cs="Calibri"/>
          <w:shd w:val="clear" w:color="auto" w:fill="FFFFFF"/>
        </w:rPr>
        <w:t>Luk</w:t>
      </w:r>
      <w:proofErr w:type="spellEnd"/>
      <w:r w:rsidRPr="00C729FF">
        <w:rPr>
          <w:rFonts w:ascii="Calibri" w:hAnsi="Calibri" w:cs="Calibri"/>
          <w:shd w:val="clear" w:color="auto" w:fill="FFFFFF"/>
        </w:rPr>
        <w:t xml:space="preserve"> KC, Lee VM. Addition of exogenous α-synuclein preformed fibrils to primary neuronal cultures to seed recruitment of endogenous α-synuclein to Lewy body and Lewy neurite-like aggregates. Nat </w:t>
      </w:r>
      <w:proofErr w:type="spellStart"/>
      <w:r w:rsidRPr="00C729FF">
        <w:rPr>
          <w:rFonts w:ascii="Calibri" w:hAnsi="Calibri" w:cs="Calibri"/>
          <w:shd w:val="clear" w:color="auto" w:fill="FFFFFF"/>
        </w:rPr>
        <w:t>Protoc</w:t>
      </w:r>
      <w:proofErr w:type="spellEnd"/>
      <w:r w:rsidRPr="00C729FF">
        <w:rPr>
          <w:rFonts w:ascii="Calibri" w:hAnsi="Calibri" w:cs="Calibri"/>
          <w:shd w:val="clear" w:color="auto" w:fill="FFFFFF"/>
        </w:rPr>
        <w:t xml:space="preserve">. 2014 Sep;9(9):2135-46. </w:t>
      </w:r>
      <w:proofErr w:type="spellStart"/>
      <w:r w:rsidRPr="00C729FF">
        <w:rPr>
          <w:rFonts w:ascii="Calibri" w:hAnsi="Calibri" w:cs="Calibri"/>
          <w:shd w:val="clear" w:color="auto" w:fill="FFFFFF"/>
        </w:rPr>
        <w:t>doi</w:t>
      </w:r>
      <w:proofErr w:type="spellEnd"/>
      <w:r w:rsidRPr="00C729FF">
        <w:rPr>
          <w:rFonts w:ascii="Calibri" w:hAnsi="Calibri" w:cs="Calibri"/>
          <w:shd w:val="clear" w:color="auto" w:fill="FFFFFF"/>
        </w:rPr>
        <w:t xml:space="preserve">: 10.1038/nprot.2014.143. </w:t>
      </w:r>
      <w:proofErr w:type="spellStart"/>
      <w:r w:rsidRPr="00C729FF">
        <w:rPr>
          <w:rFonts w:ascii="Calibri" w:hAnsi="Calibri" w:cs="Calibri"/>
          <w:shd w:val="clear" w:color="auto" w:fill="FFFFFF"/>
        </w:rPr>
        <w:t>Epub</w:t>
      </w:r>
      <w:proofErr w:type="spellEnd"/>
      <w:r w:rsidRPr="00C729FF">
        <w:rPr>
          <w:rFonts w:ascii="Calibri" w:hAnsi="Calibri" w:cs="Calibri"/>
          <w:shd w:val="clear" w:color="auto" w:fill="FFFFFF"/>
        </w:rPr>
        <w:t xml:space="preserve"> 2014 Aug 14. PMID: 25122523; PMCID: PMC4372899.</w:t>
      </w:r>
    </w:p>
    <w:sectPr w:rsidR="00876E5F" w:rsidRPr="00C72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7200"/>
    <w:multiLevelType w:val="multilevel"/>
    <w:tmpl w:val="611E30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0E0388"/>
    <w:multiLevelType w:val="multilevel"/>
    <w:tmpl w:val="634A9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042317"/>
    <w:multiLevelType w:val="multilevel"/>
    <w:tmpl w:val="D1C88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CC79C8"/>
    <w:multiLevelType w:val="multilevel"/>
    <w:tmpl w:val="81B20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2D8"/>
    <w:rsid w:val="003A12D8"/>
    <w:rsid w:val="004C385D"/>
    <w:rsid w:val="00625B7A"/>
    <w:rsid w:val="00876E5F"/>
    <w:rsid w:val="009119AF"/>
    <w:rsid w:val="00C72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D772"/>
  <w15:chartTrackingRefBased/>
  <w15:docId w15:val="{88FACE21-7A78-4653-A616-C5AC827C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Sitron, Cole</dc:creator>
  <cp:keywords/>
  <dc:description/>
  <cp:lastModifiedBy>Sitron, Cole</cp:lastModifiedBy>
  <cp:revision>4</cp:revision>
  <dcterms:created xsi:type="dcterms:W3CDTF">2023-11-08T14:19:00Z</dcterms:created>
  <dcterms:modified xsi:type="dcterms:W3CDTF">2024-01-12T09:45:00Z</dcterms:modified>
</cp:coreProperties>
</file>