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sz w:val="32"/>
          <w:szCs w:val="32"/>
        </w:rPr>
        <w:t>Protocol</w:t>
      </w:r>
    </w:p>
    <w:p>
      <w:pPr>
        <w:rPr>
          <w:rFonts w:hint="eastAsia"/>
          <w:b/>
          <w:bCs/>
          <w:lang w:val="en-GB"/>
        </w:rPr>
      </w:pPr>
      <w:r>
        <w:rPr>
          <w:rFonts w:hint="eastAsia"/>
          <w:b/>
          <w:bCs/>
          <w:sz w:val="28"/>
          <w:szCs w:val="28"/>
        </w:rPr>
        <w:t>Background</w:t>
      </w:r>
      <w:r>
        <w:rPr>
          <w:rFonts w:hint="eastAsia"/>
          <w:b/>
          <w:bCs/>
        </w:rPr>
        <w:t xml:space="preserve"> </w:t>
      </w:r>
      <w:r>
        <w:rPr>
          <w:rFonts w:hint="eastAsia"/>
          <w:b/>
          <w:bCs/>
          <w:lang w:val="en-GB"/>
        </w:rPr>
        <w:t xml:space="preserve"> </w:t>
      </w:r>
    </w:p>
    <w:p>
      <w:pPr>
        <w:ind w:firstLine="420" w:firstLineChars="200"/>
        <w:rPr>
          <w:rFonts w:hint="eastAsia"/>
          <w:b w:val="0"/>
          <w:bCs w:val="0"/>
          <w:sz w:val="21"/>
          <w:szCs w:val="21"/>
          <w:lang w:val="en-GB"/>
        </w:rPr>
      </w:pPr>
      <w:r>
        <w:rPr>
          <w:rFonts w:hint="eastAsia"/>
          <w:b w:val="0"/>
          <w:bCs w:val="0"/>
          <w:sz w:val="21"/>
          <w:szCs w:val="21"/>
          <w:lang w:val="en-GB"/>
        </w:rPr>
        <w:t xml:space="preserve">Programmed cell death 1 (PD-1) and its ligand (PD-L1) play an important role in tumour recurrence, metastasis and infiltration. Moreover, the use of their corresponding inhibitors has led to progress in the treatment of many cancer types. However, these inhibitors also cause various immune-related adverse events and their effectiveness was observed in select patients. Therefore, it is urgent to identify biomarkers that can predict a patient’s response to PD-1/PD-L1 inhibitors, thereby aiding in selecting appropriate patients. </w:t>
      </w:r>
    </w:p>
    <w:p>
      <w:pPr>
        <w:rPr>
          <w:rFonts w:hint="default"/>
          <w:b/>
          <w:bCs/>
          <w:sz w:val="28"/>
          <w:szCs w:val="28"/>
        </w:rPr>
      </w:pPr>
      <w:r>
        <w:rPr>
          <w:rFonts w:hint="eastAsia"/>
          <w:b/>
          <w:bCs/>
          <w:sz w:val="28"/>
          <w:szCs w:val="28"/>
          <w:lang w:val="en-US" w:eastAsia="zh-CN"/>
        </w:rPr>
        <w:t>O</w:t>
      </w:r>
      <w:r>
        <w:rPr>
          <w:rFonts w:hint="default"/>
          <w:b/>
          <w:bCs/>
          <w:sz w:val="28"/>
          <w:szCs w:val="28"/>
        </w:rPr>
        <w:t xml:space="preserve">bjectives </w:t>
      </w:r>
    </w:p>
    <w:p>
      <w:pPr>
        <w:ind w:firstLine="420" w:firstLineChars="200"/>
        <w:rPr>
          <w:rFonts w:hint="eastAsia"/>
          <w:b w:val="0"/>
          <w:bCs w:val="0"/>
          <w:sz w:val="21"/>
          <w:szCs w:val="21"/>
          <w:lang w:val="en-GB"/>
        </w:rPr>
      </w:pPr>
      <w:r>
        <w:rPr>
          <w:rFonts w:hint="eastAsia"/>
          <w:b w:val="0"/>
          <w:bCs w:val="0"/>
          <w:sz w:val="21"/>
          <w:szCs w:val="21"/>
          <w:lang w:val="en-GB"/>
        </w:rPr>
        <w:t>This study aimed to evaluate the diagnostic value of PD-L1 expression in clinical practice, particularly in patients with advanced malignancies treated with PD-1/PD-L1 inhibitors.</w:t>
      </w:r>
    </w:p>
    <w:p>
      <w:pPr>
        <w:rPr>
          <w:rFonts w:hint="default" w:eastAsiaTheme="minorEastAsia"/>
          <w:b w:val="0"/>
          <w:bCs w:val="0"/>
          <w:sz w:val="21"/>
          <w:szCs w:val="21"/>
          <w:lang w:val="en-US" w:eastAsia="zh-CN"/>
        </w:rPr>
      </w:pPr>
      <w:r>
        <w:rPr>
          <w:rFonts w:hint="eastAsia"/>
          <w:b/>
          <w:bCs/>
          <w:sz w:val="28"/>
          <w:szCs w:val="28"/>
          <w:lang w:val="en-US" w:eastAsia="zh-CN"/>
        </w:rPr>
        <w:t>S</w:t>
      </w:r>
      <w:r>
        <w:rPr>
          <w:rFonts w:hint="default"/>
          <w:b/>
          <w:bCs/>
          <w:sz w:val="28"/>
          <w:szCs w:val="28"/>
        </w:rPr>
        <w:t>election critiera</w:t>
      </w:r>
      <w:r>
        <w:rPr>
          <w:rFonts w:hint="eastAsia"/>
          <w:b w:val="0"/>
          <w:bCs w:val="0"/>
          <w:sz w:val="21"/>
          <w:szCs w:val="21"/>
          <w:lang w:val="en-US" w:eastAsia="zh-CN"/>
        </w:rPr>
        <w:t>(Types of studies/Types of participants/Types of interventions/Types of outcomes)</w:t>
      </w:r>
    </w:p>
    <w:p>
      <w:pPr>
        <w:ind w:firstLine="420" w:firstLineChars="200"/>
        <w:rPr>
          <w:rFonts w:ascii="Times New Roman" w:hAnsi="Times New Roman" w:eastAsia="宋体" w:cs="Times New Roman"/>
          <w:color w:val="231F20"/>
          <w:kern w:val="0"/>
          <w:sz w:val="21"/>
          <w:szCs w:val="21"/>
          <w:lang w:val="en-GB"/>
        </w:rPr>
      </w:pPr>
      <w:r>
        <w:rPr>
          <w:rFonts w:ascii="Times New Roman" w:hAnsi="Times New Roman" w:eastAsia="宋体" w:cs="Times New Roman"/>
          <w:sz w:val="21"/>
          <w:lang w:val="en-GB"/>
        </w:rPr>
        <w:t xml:space="preserve">Both the exclusion and inclusion criteria were predetermined. </w:t>
      </w:r>
      <w:r>
        <w:rPr>
          <w:rFonts w:ascii="Times New Roman" w:hAnsi="Times New Roman" w:eastAsia="宋体" w:cs="Times New Roman"/>
          <w:color w:val="231F20"/>
          <w:kern w:val="0"/>
          <w:sz w:val="21"/>
          <w:szCs w:val="21"/>
          <w:lang w:val="en-GB"/>
        </w:rPr>
        <w:t>The inclusion criteria were as follows</w:t>
      </w:r>
      <w:r>
        <w:rPr>
          <w:rFonts w:ascii="Times New Roman" w:hAnsi="Times New Roman" w:eastAsia="宋体" w:cs="Times New Roman"/>
          <w:sz w:val="21"/>
          <w:lang w:val="en-GB"/>
        </w:rPr>
        <w:t xml:space="preserve">: (1) </w:t>
      </w:r>
      <w:r>
        <w:rPr>
          <w:rFonts w:ascii="Times New Roman" w:hAnsi="Times New Roman" w:eastAsia="宋体" w:cs="Times New Roman"/>
          <w:color w:val="231F20"/>
          <w:kern w:val="0"/>
          <w:sz w:val="21"/>
          <w:szCs w:val="21"/>
          <w:lang w:val="en-GB"/>
        </w:rPr>
        <w:t xml:space="preserve">the PD-L1 status of the included patients (aged &gt;18) were examined, either in </w:t>
      </w:r>
      <w:r>
        <w:rPr>
          <w:rFonts w:ascii="Times New Roman" w:hAnsi="Times New Roman" w:eastAsia="宋体" w:cs="Times New Roman"/>
          <w:sz w:val="21"/>
          <w:lang w:val="en-GB"/>
        </w:rPr>
        <w:t xml:space="preserve">the primary tumour or at the metastatic site, using </w:t>
      </w:r>
      <w:r>
        <w:rPr>
          <w:rFonts w:ascii="Times New Roman" w:hAnsi="Times New Roman" w:eastAsia="宋体" w:cs="Times New Roman"/>
          <w:color w:val="231F20"/>
          <w:kern w:val="0"/>
          <w:sz w:val="21"/>
          <w:szCs w:val="21"/>
          <w:lang w:val="en-GB"/>
        </w:rPr>
        <w:t>immunohistochemistry (IHC) staining methods</w:t>
      </w:r>
      <w:r>
        <w:rPr>
          <w:rFonts w:ascii="Times New Roman" w:hAnsi="Times New Roman" w:eastAsia="宋体" w:cs="Times New Roman"/>
          <w:sz w:val="21"/>
          <w:lang w:val="en-GB"/>
        </w:rPr>
        <w:t xml:space="preserve">. The </w:t>
      </w:r>
      <w:r>
        <w:rPr>
          <w:rFonts w:ascii="Times New Roman" w:hAnsi="Times New Roman" w:eastAsia="宋体" w:cs="Times New Roman"/>
          <w:color w:val="231F20"/>
          <w:kern w:val="0"/>
          <w:sz w:val="21"/>
          <w:szCs w:val="21"/>
          <w:lang w:val="en-GB"/>
        </w:rPr>
        <w:t>threshold for PD-L1 positivity or negativity was that the stained PD-L1 cells accounted for 1% of tumour cells or tumour and immune cells; (2)</w:t>
      </w:r>
      <w:r>
        <w:rPr>
          <w:rFonts w:ascii="Times New Roman" w:hAnsi="Times New Roman" w:eastAsia="宋体" w:cs="Times New Roman"/>
          <w:sz w:val="21"/>
          <w:lang w:val="en-GB"/>
        </w:rPr>
        <w:t xml:space="preserve"> </w:t>
      </w:r>
      <w:r>
        <w:rPr>
          <w:rFonts w:ascii="Times New Roman" w:hAnsi="Times New Roman" w:eastAsia="宋体" w:cs="Times New Roman"/>
          <w:color w:val="231F20"/>
          <w:kern w:val="0"/>
          <w:sz w:val="21"/>
          <w:szCs w:val="21"/>
          <w:lang w:val="en-GB"/>
        </w:rPr>
        <w:t xml:space="preserve">the primary outcome was overall survival and the study had </w:t>
      </w:r>
      <w:r>
        <w:rPr>
          <w:rFonts w:ascii="Times New Roman" w:hAnsi="Times New Roman" w:eastAsia="宋体" w:cs="Times New Roman"/>
          <w:sz w:val="21"/>
          <w:szCs w:val="21"/>
          <w:lang w:val="en-GB"/>
        </w:rPr>
        <w:t xml:space="preserve">available number of death or hazard ratios (HRs), which were </w:t>
      </w:r>
      <w:r>
        <w:rPr>
          <w:rFonts w:ascii="Times New Roman" w:hAnsi="Times New Roman" w:eastAsia="宋体" w:cs="Times New Roman"/>
          <w:color w:val="231F20"/>
          <w:kern w:val="0"/>
          <w:sz w:val="21"/>
          <w:szCs w:val="21"/>
          <w:lang w:val="en-GB"/>
        </w:rPr>
        <w:t>evaluated based on the positivity or negativity of PD-L1 expression;</w:t>
      </w:r>
      <w:r>
        <w:rPr>
          <w:rFonts w:ascii="Times New Roman" w:hAnsi="Times New Roman" w:eastAsia="宋体" w:cs="Times New Roman"/>
          <w:sz w:val="21"/>
          <w:lang w:val="en-GB"/>
        </w:rPr>
        <w:t xml:space="preserve"> (3) participants were treated with at least one globally approved PD-1/PD-L1 inhibitor (e.g., nivolumab, pembrolizumab, avelumab, atezolizumab or durvalumab), </w:t>
      </w:r>
      <w:r>
        <w:rPr>
          <w:rFonts w:ascii="Times New Roman" w:hAnsi="Times New Roman" w:eastAsia="宋体" w:cs="Times New Roman"/>
          <w:color w:val="231F20"/>
          <w:kern w:val="0"/>
          <w:sz w:val="21"/>
          <w:szCs w:val="21"/>
          <w:lang w:val="en-GB"/>
        </w:rPr>
        <w:t>disregarding dosage and duration</w:t>
      </w:r>
      <w:r>
        <w:rPr>
          <w:rFonts w:ascii="Times New Roman" w:hAnsi="Times New Roman" w:eastAsia="宋体" w:cs="Times New Roman"/>
          <w:sz w:val="21"/>
          <w:lang w:val="en-GB"/>
        </w:rPr>
        <w:t xml:space="preserve">; (4) studies that were reported only an abstract but were later published in full form were included, while case reports, reviews and prior meta-analyses were excluded. Studies not matching the selection criteria were excluded. Other exclusion criteria included the following: (1) studies in which participants were treated with combination therapies consisting of PD-1 and PD-L1 inhibitors; (2) </w:t>
      </w:r>
      <w:r>
        <w:rPr>
          <w:rFonts w:ascii="Times New Roman" w:hAnsi="Times New Roman" w:eastAsia="宋体" w:cs="Times New Roman"/>
          <w:color w:val="231F20"/>
          <w:kern w:val="0"/>
          <w:sz w:val="21"/>
          <w:szCs w:val="21"/>
          <w:lang w:val="en-GB"/>
        </w:rPr>
        <w:t>phase I and non-randomi</w:t>
      </w:r>
      <w:r>
        <w:rPr>
          <w:rFonts w:hint="eastAsia" w:ascii="Times New Roman" w:hAnsi="Times New Roman" w:eastAsia="宋体" w:cs="Times New Roman"/>
          <w:color w:val="231F20"/>
          <w:kern w:val="0"/>
          <w:sz w:val="21"/>
          <w:szCs w:val="21"/>
          <w:lang w:val="en-US" w:eastAsia="zh-CN"/>
        </w:rPr>
        <w:t>s</w:t>
      </w:r>
      <w:r>
        <w:rPr>
          <w:rFonts w:ascii="Times New Roman" w:hAnsi="Times New Roman" w:eastAsia="宋体" w:cs="Times New Roman"/>
          <w:color w:val="231F20"/>
          <w:kern w:val="0"/>
          <w:sz w:val="21"/>
          <w:szCs w:val="21"/>
          <w:lang w:val="en-GB"/>
        </w:rPr>
        <w:t>ed phase II studies; (3) retrospective or prospective observational cohort studies.</w:t>
      </w:r>
    </w:p>
    <w:p>
      <w:pPr>
        <w:rPr>
          <w:rFonts w:hint="eastAsia"/>
          <w:b/>
          <w:bCs/>
          <w:sz w:val="28"/>
          <w:szCs w:val="28"/>
          <w:lang w:val="en-US" w:eastAsia="zh-CN"/>
        </w:rPr>
      </w:pPr>
      <w:r>
        <w:rPr>
          <w:rFonts w:hint="eastAsia"/>
          <w:b/>
          <w:bCs/>
          <w:sz w:val="28"/>
          <w:szCs w:val="28"/>
          <w:lang w:val="en-US" w:eastAsia="zh-CN"/>
        </w:rPr>
        <w:t>Search strategy</w:t>
      </w:r>
    </w:p>
    <w:p>
      <w:pPr>
        <w:rPr>
          <w:rFonts w:hint="eastAsia"/>
          <w:b w:val="0"/>
          <w:bCs w:val="0"/>
          <w:sz w:val="21"/>
          <w:szCs w:val="21"/>
          <w:lang w:val="en-US" w:eastAsia="zh-CN"/>
        </w:rPr>
      </w:pPr>
      <w:r>
        <w:rPr>
          <w:rFonts w:hint="eastAsia"/>
          <w:b w:val="0"/>
          <w:bCs w:val="0"/>
          <w:sz w:val="21"/>
          <w:szCs w:val="21"/>
          <w:lang w:val="en-US" w:eastAsia="zh-CN"/>
        </w:rPr>
        <w:t>Frame 1  Search strategies</w:t>
      </w:r>
    </w:p>
    <w:p>
      <w:pPr>
        <w:jc w:val="center"/>
        <w:rPr>
          <w:rFonts w:hint="eastAsia"/>
          <w:b/>
          <w:bCs/>
          <w:sz w:val="28"/>
          <w:szCs w:val="28"/>
          <w:lang w:val="en-US" w:eastAsia="zh-CN"/>
        </w:rPr>
      </w:pPr>
      <w:r>
        <w:rPr>
          <w:rFonts w:hint="eastAsia"/>
          <w:b/>
          <w:bCs/>
          <w:sz w:val="28"/>
          <w:szCs w:val="28"/>
          <w:lang w:val="en-US" w:eastAsia="zh-CN"/>
        </w:rPr>
        <mc:AlternateContent>
          <mc:Choice Requires="wps">
            <w:drawing>
              <wp:inline distT="0" distB="0" distL="114300" distR="114300">
                <wp:extent cx="3937635" cy="2947035"/>
                <wp:effectExtent l="4445" t="4445" r="20320" b="20320"/>
                <wp:docPr id="2" name="文本框 2"/>
                <wp:cNvGraphicFramePr/>
                <a:graphic xmlns:a="http://schemas.openxmlformats.org/drawingml/2006/main">
                  <a:graphicData uri="http://schemas.microsoft.com/office/word/2010/wordprocessingShape">
                    <wps:wsp>
                      <wps:cNvSpPr txBox="1"/>
                      <wps:spPr>
                        <a:xfrm>
                          <a:off x="1206500" y="840740"/>
                          <a:ext cx="3937635" cy="2947035"/>
                        </a:xfrm>
                        <a:prstGeom prst="rect">
                          <a:avLst/>
                        </a:prstGeom>
                        <a:solidFill>
                          <a:schemeClr val="accent3">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left"/>
                            </w:pPr>
                            <w:r>
                              <w:t>#1 Pembrolizumab[Title/Abstract] OR Nivolumab[Title/Abstract] OR Cemiplimab[Title/Abstract] OR Camrelizumab[Title/Abstract] OR Sintilimab[Title/Abstract] OR</w:t>
                            </w:r>
                            <w:r>
                              <w:rPr>
                                <w:rFonts w:hint="eastAsia"/>
                              </w:rPr>
                              <w:t xml:space="preserve"> </w:t>
                            </w:r>
                            <w:r>
                              <w:t>Tislelizumab[Title/Abstract] OR Toripalimab[Title/Abstract]</w:t>
                            </w:r>
                            <w:r>
                              <w:rPr>
                                <w:rFonts w:hint="eastAsia"/>
                              </w:rPr>
                              <w:t xml:space="preserve"> OR PD-1 inhibitor[MeSH Terms]</w:t>
                            </w:r>
                          </w:p>
                          <w:p>
                            <w:pPr>
                              <w:jc w:val="left"/>
                            </w:pPr>
                            <w:r>
                              <w:t>#2 Atezolizumab[Title/Abstract] OR Durvalumab[Title/Abstract] OR Avelumab[Title/Abstract]</w:t>
                            </w:r>
                            <w:r>
                              <w:rPr>
                                <w:rFonts w:hint="eastAsia"/>
                              </w:rPr>
                              <w:t xml:space="preserve"> </w:t>
                            </w:r>
                            <w:r>
                              <w:t xml:space="preserve">OR </w:t>
                            </w:r>
                            <w:r>
                              <w:rPr>
                                <w:rFonts w:ascii="Times New Roman" w:hAnsi="Times New Roman" w:eastAsia="宋体" w:cs="Times New Roman"/>
                                <w:sz w:val="24"/>
                              </w:rPr>
                              <w:t>Sugemalimab</w:t>
                            </w:r>
                            <w:r>
                              <w:t>[Title/Abstract]</w:t>
                            </w:r>
                            <w:r>
                              <w:rPr>
                                <w:rFonts w:hint="eastAsia"/>
                              </w:rPr>
                              <w:t xml:space="preserve"> OR </w:t>
                            </w:r>
                            <w:r>
                              <w:t>PD-</w:t>
                            </w:r>
                            <w:r>
                              <w:rPr>
                                <w:rFonts w:hint="eastAsia"/>
                              </w:rPr>
                              <w:t>L</w:t>
                            </w:r>
                            <w:r>
                              <w:t>1 inhibitor [MeSH Terms]</w:t>
                            </w:r>
                          </w:p>
                          <w:p>
                            <w:pPr>
                              <w:jc w:val="left"/>
                            </w:pPr>
                            <w:r>
                              <w:t>#3</w:t>
                            </w:r>
                            <w:r>
                              <w:rPr>
                                <w:rFonts w:hint="eastAsia"/>
                                <w:lang w:val="en-US" w:eastAsia="zh-CN"/>
                              </w:rPr>
                              <w:t xml:space="preserve">"PD-1"[All Fields] OR "PD-L1"[All Fields] </w:t>
                            </w:r>
                          </w:p>
                          <w:p>
                            <w:pPr>
                              <w:jc w:val="left"/>
                            </w:pPr>
                            <w:r>
                              <w:rPr>
                                <w:rFonts w:hint="eastAsia"/>
                              </w:rPr>
                              <w:t xml:space="preserve">#4 </w:t>
                            </w:r>
                            <w:r>
                              <w:t>randomized, controlled trial [MeSH Terms] OR randomized controlled trial [Title/Abstract]</w:t>
                            </w:r>
                          </w:p>
                          <w:p>
                            <w:pPr>
                              <w:jc w:val="left"/>
                            </w:pPr>
                            <w:r>
                              <w:t>#</w:t>
                            </w:r>
                            <w:r>
                              <w:rPr>
                                <w:rFonts w:hint="eastAsia"/>
                              </w:rPr>
                              <w:t>5 （</w:t>
                            </w:r>
                            <w:r>
                              <w:t xml:space="preserve">#1 </w:t>
                            </w:r>
                            <w:r>
                              <w:rPr>
                                <w:rFonts w:hint="eastAsia"/>
                              </w:rPr>
                              <w:t>OR</w:t>
                            </w:r>
                            <w:r>
                              <w:t xml:space="preserve"> #2</w:t>
                            </w:r>
                            <w:r>
                              <w:rPr>
                                <w:rFonts w:hint="eastAsia"/>
                              </w:rPr>
                              <w:t>）</w:t>
                            </w:r>
                            <w:r>
                              <w:t>AND #3</w:t>
                            </w:r>
                            <w:r>
                              <w:rPr>
                                <w:rFonts w:hint="eastAsia"/>
                              </w:rPr>
                              <w:t xml:space="preserve"> AND #4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232.05pt;width:310.05pt;" fillcolor="#C9C9C9 [1942]" filled="t" stroked="t" coordsize="21600,21600" o:gfxdata="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gbfSjVAAAABQEAAA8AAAAAAAAA&#10;AQAgAAAAIgAAAGRycy9kb3ducmV2LnhtbFBLAQIUABQAAAAIAIdO4kBurge2hgIAAAoFAAAOAAAA&#10;AAAAAAEAIAAAACQBAABkcnMvZTJvRG9jLnhtbFBLBQYAAAAABgAGAFkBAAAcBgAAAAA=&#10;">
                <v:fill on="t" focussize="0,0"/>
                <v:stroke weight="0.5pt" color="#000000 [3204]" joinstyle="round"/>
                <v:imagedata o:title=""/>
                <o:lock v:ext="edit" aspectratio="f"/>
                <v:textbox>
                  <w:txbxContent>
                    <w:p>
                      <w:pPr>
                        <w:jc w:val="left"/>
                      </w:pPr>
                      <w:r>
                        <w:t>#1 Pembrolizumab[Title/Abstract] OR Nivolumab[Title/Abstract] OR Cemiplimab[Title/Abstract] OR Camrelizumab[Title/Abstract] OR Sintilimab[Title/Abstract] OR</w:t>
                      </w:r>
                      <w:r>
                        <w:rPr>
                          <w:rFonts w:hint="eastAsia"/>
                        </w:rPr>
                        <w:t xml:space="preserve"> </w:t>
                      </w:r>
                      <w:r>
                        <w:t>Tislelizumab[Title/Abstract] OR Toripalimab[Title/Abstract]</w:t>
                      </w:r>
                      <w:r>
                        <w:rPr>
                          <w:rFonts w:hint="eastAsia"/>
                        </w:rPr>
                        <w:t xml:space="preserve"> OR PD-1 inhibitor[MeSH Terms]</w:t>
                      </w:r>
                    </w:p>
                    <w:p>
                      <w:pPr>
                        <w:jc w:val="left"/>
                      </w:pPr>
                      <w:r>
                        <w:t>#2 Atezolizumab[Title/Abstract] OR Durvalumab[Title/Abstract] OR Avelumab[Title/Abstract]</w:t>
                      </w:r>
                      <w:r>
                        <w:rPr>
                          <w:rFonts w:hint="eastAsia"/>
                        </w:rPr>
                        <w:t xml:space="preserve"> </w:t>
                      </w:r>
                      <w:r>
                        <w:t xml:space="preserve">OR </w:t>
                      </w:r>
                      <w:r>
                        <w:rPr>
                          <w:rFonts w:ascii="Times New Roman" w:hAnsi="Times New Roman" w:eastAsia="宋体" w:cs="Times New Roman"/>
                          <w:sz w:val="24"/>
                        </w:rPr>
                        <w:t>Sugemalimab</w:t>
                      </w:r>
                      <w:r>
                        <w:t>[Title/Abstract]</w:t>
                      </w:r>
                      <w:r>
                        <w:rPr>
                          <w:rFonts w:hint="eastAsia"/>
                        </w:rPr>
                        <w:t xml:space="preserve"> OR </w:t>
                      </w:r>
                      <w:r>
                        <w:t>PD-</w:t>
                      </w:r>
                      <w:r>
                        <w:rPr>
                          <w:rFonts w:hint="eastAsia"/>
                        </w:rPr>
                        <w:t>L</w:t>
                      </w:r>
                      <w:r>
                        <w:t>1 inhibitor [MeSH Terms]</w:t>
                      </w:r>
                    </w:p>
                    <w:p>
                      <w:pPr>
                        <w:jc w:val="left"/>
                      </w:pPr>
                      <w:r>
                        <w:t>#3</w:t>
                      </w:r>
                      <w:r>
                        <w:rPr>
                          <w:rFonts w:hint="eastAsia"/>
                          <w:lang w:val="en-US" w:eastAsia="zh-CN"/>
                        </w:rPr>
                        <w:t xml:space="preserve">"PD-1"[All Fields] OR "PD-L1"[All Fields] </w:t>
                      </w:r>
                    </w:p>
                    <w:p>
                      <w:pPr>
                        <w:jc w:val="left"/>
                      </w:pPr>
                      <w:r>
                        <w:rPr>
                          <w:rFonts w:hint="eastAsia"/>
                        </w:rPr>
                        <w:t xml:space="preserve">#4 </w:t>
                      </w:r>
                      <w:r>
                        <w:t>randomized, controlled trial [MeSH Terms] OR randomized controlled trial [Title/Abstract]</w:t>
                      </w:r>
                    </w:p>
                    <w:p>
                      <w:pPr>
                        <w:jc w:val="left"/>
                      </w:pPr>
                      <w:r>
                        <w:t>#</w:t>
                      </w:r>
                      <w:r>
                        <w:rPr>
                          <w:rFonts w:hint="eastAsia"/>
                        </w:rPr>
                        <w:t>5 （</w:t>
                      </w:r>
                      <w:r>
                        <w:t xml:space="preserve">#1 </w:t>
                      </w:r>
                      <w:r>
                        <w:rPr>
                          <w:rFonts w:hint="eastAsia"/>
                        </w:rPr>
                        <w:t>OR</w:t>
                      </w:r>
                      <w:r>
                        <w:t xml:space="preserve"> #2</w:t>
                      </w:r>
                      <w:r>
                        <w:rPr>
                          <w:rFonts w:hint="eastAsia"/>
                        </w:rPr>
                        <w:t>）</w:t>
                      </w:r>
                      <w:r>
                        <w:t>AND #3</w:t>
                      </w:r>
                      <w:r>
                        <w:rPr>
                          <w:rFonts w:hint="eastAsia"/>
                        </w:rPr>
                        <w:t xml:space="preserve"> AND #4</w:t>
                      </w:r>
                    </w:p>
                  </w:txbxContent>
                </v:textbox>
                <w10:wrap type="none"/>
                <w10:anchorlock/>
              </v:shape>
            </w:pict>
          </mc:Fallback>
        </mc:AlternateContent>
      </w:r>
    </w:p>
    <w:p>
      <w:pPr>
        <w:rPr>
          <w:rFonts w:hint="eastAsia"/>
          <w:b/>
          <w:bCs/>
          <w:sz w:val="28"/>
          <w:szCs w:val="28"/>
          <w:lang w:val="en-US" w:eastAsia="zh-CN"/>
        </w:rPr>
      </w:pPr>
      <w:r>
        <w:rPr>
          <w:rFonts w:hint="eastAsia"/>
          <w:b/>
          <w:bCs/>
          <w:sz w:val="28"/>
          <w:szCs w:val="28"/>
          <w:lang w:val="en-US" w:eastAsia="zh-CN"/>
        </w:rPr>
        <w:t>Study selection</w:t>
      </w:r>
    </w:p>
    <w:p>
      <w:pPr>
        <w:ind w:firstLine="210" w:firstLineChars="100"/>
        <w:rPr>
          <w:rFonts w:ascii="Times New Roman" w:hAnsi="Times New Roman" w:eastAsia="宋体" w:cs="Times New Roman"/>
          <w:b/>
          <w:bCs/>
          <w:sz w:val="21"/>
          <w:szCs w:val="21"/>
          <w:lang w:val="en-GB"/>
        </w:rPr>
      </w:pPr>
      <w:r>
        <w:rPr>
          <w:rFonts w:hint="eastAsia" w:eastAsia="宋体" w:cs="Times New Roman"/>
          <w:sz w:val="21"/>
          <w:lang w:val="en-US" w:eastAsia="zh-CN"/>
        </w:rPr>
        <w:t>S</w:t>
      </w:r>
      <w:r>
        <w:rPr>
          <w:rFonts w:ascii="Times New Roman" w:hAnsi="Times New Roman" w:eastAsia="宋体" w:cs="Times New Roman"/>
          <w:sz w:val="21"/>
          <w:lang w:val="en-GB"/>
        </w:rPr>
        <w:t xml:space="preserve">tudy selection was performed independently by two investigators and a consensus was reached for all eligible studies. </w:t>
      </w:r>
      <w:r>
        <w:rPr>
          <w:rFonts w:ascii="Times New Roman" w:hAnsi="Times New Roman" w:eastAsia="宋体" w:cs="Times New Roman"/>
          <w:color w:val="231F20"/>
          <w:kern w:val="0"/>
          <w:sz w:val="21"/>
          <w:szCs w:val="21"/>
          <w:lang w:val="en-GB"/>
        </w:rPr>
        <w:t>The included trials represented unique studies. Moreover, when the same clinical trial appeared in multiple articles or cases overlapped between different publications, the most recent or most complete reporting study, or both, were included.</w:t>
      </w:r>
    </w:p>
    <w:p>
      <w:pPr>
        <w:rPr>
          <w:rFonts w:hint="eastAsia"/>
          <w:b/>
          <w:bCs/>
          <w:sz w:val="28"/>
          <w:szCs w:val="28"/>
          <w:lang w:val="en-US" w:eastAsia="zh-CN"/>
        </w:rPr>
      </w:pPr>
      <w:r>
        <w:rPr>
          <w:rFonts w:hint="eastAsia"/>
          <w:b/>
          <w:bCs/>
          <w:sz w:val="28"/>
          <w:szCs w:val="28"/>
          <w:lang w:val="en-US" w:eastAsia="zh-CN"/>
        </w:rPr>
        <w:t>Data extraction</w:t>
      </w:r>
    </w:p>
    <w:p>
      <w:pPr>
        <w:ind w:firstLine="480" w:firstLineChars="200"/>
        <w:rPr>
          <w:rFonts w:hint="eastAsia"/>
          <w:b/>
          <w:bCs/>
          <w:sz w:val="28"/>
          <w:szCs w:val="28"/>
          <w:lang w:val="en-US" w:eastAsia="zh-CN"/>
        </w:rPr>
      </w:pPr>
      <w:r>
        <w:rPr>
          <w:rFonts w:ascii="Times New Roman" w:hAnsi="Times New Roman" w:cs="Times New Roman"/>
          <w:szCs w:val="21"/>
          <w:lang w:val="en-GB"/>
        </w:rPr>
        <w:t>The primary endpoint was overall survival, with odds ratios (ORs) and their 95% CIs used as summary statistics for dichotomous data analysis</w:t>
      </w:r>
      <w:r>
        <w:rPr>
          <w:rFonts w:hint="eastAsia" w:cs="Times New Roman"/>
          <w:szCs w:val="21"/>
          <w:lang w:val="en-US" w:eastAsia="zh-CN"/>
        </w:rPr>
        <w:t xml:space="preserve"> </w:t>
      </w:r>
      <w:r>
        <w:rPr>
          <w:rFonts w:ascii="Times New Roman" w:hAnsi="Times New Roman" w:cs="Times New Roman"/>
          <w:szCs w:val="21"/>
          <w:lang w:val="en-GB"/>
        </w:rPr>
        <w:t xml:space="preserve">in the two subgroups of patients assigned to the experimental treatment according to the PD-L1 expression status. Additionally, (HRs for death and their 95% CIs were extracted from each study for patients that were PD-L1 positive or PD-L1 negative. </w:t>
      </w:r>
    </w:p>
    <w:p>
      <w:pPr>
        <w:rPr>
          <w:rFonts w:hint="eastAsia"/>
          <w:b/>
          <w:bCs/>
          <w:sz w:val="28"/>
          <w:szCs w:val="28"/>
          <w:lang w:val="en-US" w:eastAsia="zh-CN"/>
        </w:rPr>
      </w:pPr>
      <w:r>
        <w:rPr>
          <w:rFonts w:hint="eastAsia"/>
          <w:b/>
          <w:bCs/>
          <w:sz w:val="28"/>
          <w:szCs w:val="28"/>
          <w:lang w:val="en-US" w:eastAsia="zh-CN"/>
        </w:rPr>
        <w:t>Data synthesis</w:t>
      </w:r>
    </w:p>
    <w:p>
      <w:pPr>
        <w:ind w:firstLine="420" w:firstLineChars="200"/>
        <w:rPr>
          <w:rFonts w:ascii="Times New Roman" w:hAnsi="Times New Roman" w:cs="Times New Roman"/>
          <w:szCs w:val="21"/>
          <w:lang w:val="en-GB"/>
        </w:rPr>
        <w:sectPr>
          <w:footerReference r:id="rId3" w:type="default"/>
          <w:pgSz w:w="11906" w:h="16838"/>
          <w:pgMar w:top="1440" w:right="1800" w:bottom="1440" w:left="1800" w:header="851" w:footer="992" w:gutter="0"/>
          <w:lnNumType w:countBy="1" w:restart="continuous"/>
          <w:cols w:space="425" w:num="1"/>
          <w:docGrid w:type="lines" w:linePitch="312" w:charSpace="0"/>
        </w:sectPr>
      </w:pPr>
      <w:r>
        <w:rPr>
          <w:rFonts w:ascii="Times New Roman" w:hAnsi="Times New Roman" w:eastAsia="宋体" w:cs="Times New Roman"/>
          <w:sz w:val="21"/>
          <w:szCs w:val="21"/>
          <w:lang w:val="en-GB"/>
        </w:rPr>
        <w:t>A two-tailed P value &lt; 0.05 was considered statistically significant. Statistical heterogeneity was assessed using the Chi-square test across the different studies included in the meta-analysis and inconsistency was quantified using the I</w:t>
      </w:r>
      <w:r>
        <w:rPr>
          <w:rFonts w:ascii="Times New Roman" w:hAnsi="Times New Roman" w:eastAsia="宋体" w:cs="Times New Roman"/>
          <w:sz w:val="21"/>
          <w:szCs w:val="21"/>
          <w:vertAlign w:val="superscript"/>
          <w:lang w:val="en-GB"/>
        </w:rPr>
        <w:t>2</w:t>
      </w:r>
      <w:r>
        <w:rPr>
          <w:rFonts w:ascii="Times New Roman" w:hAnsi="Times New Roman" w:eastAsia="宋体" w:cs="Times New Roman"/>
          <w:sz w:val="21"/>
          <w:szCs w:val="21"/>
          <w:lang w:val="en-GB"/>
        </w:rPr>
        <w:t xml:space="preserve"> test. The assumption of homogeneity was considered invalid for I2 &gt; 25% and P &lt; 0.05. Furthermore, a fixed-effects meta-analysis was performed for the calculation of pooled ORs and HRs of death as no significant heterogeneities were observed in the conducted analyses. Heterogeneity in efficacy between PD-L1 positive and PD-L1 negative patients was assessed using the interaction test, with P indicated as the interaction. Subgroup analysis based on the intervention drug target, cancer histotype, drug strategies, type of PD-L1 immunohistochemical scoring method, median follow-up time and type of control group were conducted to explore the variation of the effect of PD-L1 expression on the efficacy of immunotherapy. All statistical analyses were performed using the Stata statistical software version 16.0 (Stata Corporation, College Station, Texas, USA) and Rev Man5.4 softwa</w:t>
      </w:r>
      <w:bookmarkStart w:id="0" w:name="_GoBack"/>
      <w:bookmarkEnd w:id="0"/>
    </w:p>
    <w:p>
      <w:pPr>
        <w:rPr>
          <w:rFonts w:hint="eastAsia"/>
          <w:b/>
          <w:bCs/>
          <w:sz w:val="28"/>
          <w:szCs w:val="28"/>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Yh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vZYhMoBAACc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Mzg1YWUwNzRlMWMyM2I1YmUzNTU1MjM1NTJiMmQifQ=="/>
  </w:docVars>
  <w:rsids>
    <w:rsidRoot w:val="7CA567B2"/>
    <w:rsid w:val="202B07D6"/>
    <w:rsid w:val="357227D1"/>
    <w:rsid w:val="38A7771D"/>
    <w:rsid w:val="3E921340"/>
    <w:rsid w:val="5B3D33E8"/>
    <w:rsid w:val="798104DE"/>
    <w:rsid w:val="7CA567B2"/>
    <w:rsid w:val="7CE9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591</Words>
  <Characters>3536</Characters>
  <Lines>0</Lines>
  <Paragraphs>0</Paragraphs>
  <TotalTime>2</TotalTime>
  <ScaleCrop>false</ScaleCrop>
  <LinksUpToDate>false</LinksUpToDate>
  <CharactersWithSpaces>4116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2022-12-08T03:08:00Z</dcterms:created>
  <dc:creator>Ariel</dc:creator>
  <cp:lastModifiedBy>Ariel</cp:lastModifiedBy>
  <dcterms:modified xsi:type="dcterms:W3CDTF">2022-12-16T07:31:23Z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71C2B8DD7E954DAF9AD09F6C5CD1DE0F</vt:lpwstr>
  </property>
</Properties>
</file>