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57F4" w:rsidP="4849A4D9" w:rsidRDefault="001757F4" w14:paraId="43DD8A84" w14:textId="6BEFA0F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both"/>
        <w:rPr>
          <w:rFonts w:ascii="Arial" w:hAnsi="Arial" w:eastAsia="Arial" w:cs="Arial"/>
          <w:color w:val="000000"/>
          <w:sz w:val="20"/>
          <w:szCs w:val="20"/>
        </w:rPr>
      </w:pPr>
      <w:r w:rsidRPr="4849A4D9" w:rsidR="001757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Immunoblotting</w:t>
      </w:r>
      <w:r w:rsidRPr="4849A4D9" w:rsidR="03DB111B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of macrophages and microglia</w:t>
      </w:r>
      <w:r w:rsidRPr="4849A4D9" w:rsidR="001757F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:</w:t>
      </w:r>
    </w:p>
    <w:p w:rsidRPr="00FC527B" w:rsidR="001757F4" w:rsidP="001757F4" w:rsidRDefault="001757F4" w14:paraId="04B45399" w14:textId="79EAE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hAnsi="Arial" w:eastAsia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hAnsi="Arial" w:eastAsia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:rsidRPr="00FC527B" w:rsidR="001757F4" w:rsidP="001757F4" w:rsidRDefault="001757F4" w14:paraId="14F7BA20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:rsidRPr="00FC527B" w:rsidR="001757F4" w:rsidP="001757F4" w:rsidRDefault="001757F4" w14:paraId="7EAC112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:rsidRPr="00FC527B" w:rsidR="001757F4" w:rsidP="001757F4" w:rsidRDefault="001757F4" w14:paraId="2A1BC3F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:rsidRPr="00FC527B" w:rsidR="001757F4" w:rsidP="001757F4" w:rsidRDefault="001757F4" w14:paraId="063A964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:rsidRPr="00FC527B" w:rsidR="001757F4" w:rsidP="001757F4" w:rsidRDefault="001757F4" w14:paraId="10A3112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:rsidRPr="00FC527B" w:rsidR="001757F4" w:rsidP="001757F4" w:rsidRDefault="001757F4" w14:paraId="5AD6FC2F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:rsidRPr="00482D69" w:rsidR="001757F4" w:rsidP="001757F4" w:rsidRDefault="001757F4" w14:paraId="0AD5DD04" w14:textId="77777777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Abstract </w:t>
      </w:r>
    </w:p>
    <w:p w:rsidRPr="00482D69" w:rsidR="001757F4" w:rsidP="001757F4" w:rsidRDefault="001757F4" w14:paraId="498C9E19" w14:textId="03A43D72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This protocol </w:t>
      </w:r>
      <w:r w:rsidRPr="00482D69" w:rsidR="00B84953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describes the preparation from cell lysate from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cultured cells and immunoblotting</w:t>
      </w:r>
      <w:r w:rsidRPr="00482D69" w:rsidR="00654CFC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procedure.</w:t>
      </w:r>
    </w:p>
    <w:p w:rsidRPr="00482D69" w:rsidR="001757F4" w:rsidP="001757F4" w:rsidRDefault="001757F4" w14:paraId="329A0608" w14:textId="77777777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Keywords </w:t>
      </w:r>
    </w:p>
    <w:p w:rsidRPr="00482D69" w:rsidR="001757F4" w:rsidP="001757F4" w:rsidRDefault="001757F4" w14:paraId="59E62D1B" w14:textId="44AC919B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Immunoblot, </w:t>
      </w:r>
      <w:r w:rsidRPr="00482D69" w:rsidR="00B84953">
        <w:rPr>
          <w:rFonts w:ascii="Arial" w:hAnsi="Arial" w:eastAsia="Times New Roman" w:cs="Arial"/>
          <w:kern w:val="0"/>
          <w:sz w:val="20"/>
          <w:szCs w:val="20"/>
          <w14:ligatures w14:val="none"/>
        </w:rPr>
        <w:t>antibody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, tris-</w:t>
      </w:r>
      <w:proofErr w:type="gram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glycine</w:t>
      </w:r>
      <w:proofErr w:type="gramEnd"/>
    </w:p>
    <w:p w:rsidRPr="00482D69" w:rsidR="001757F4" w:rsidP="001757F4" w:rsidRDefault="001757F4" w14:paraId="6E5D5A98" w14:textId="6896F064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Solutions to prepare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br/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RIPA buffer: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150 mM NaCl, 10 mM Tris, 0.5 mM EDTA, 0.5% NP40 supplemented immediately before use with Protease Inhibitor Cocktail (Roche) and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PhosStop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phosphatase inhibitor (Roche)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br/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TBS: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50 mM Tris-Cl, 150 mM NaCl, adjust pH to 7.5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br/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TBST: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TBS with 0.1% TWEEN-20 (Sigma-Aldrich)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br/>
      </w:r>
      <w:r w:rsidRPr="00482D69" w:rsidR="00A56BA2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4</w:t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x </w:t>
      </w:r>
      <w:proofErr w:type="spellStart"/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>Laemmli</w:t>
      </w:r>
      <w:proofErr w:type="spellEnd"/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 buffer: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188 mM Tris-HCl, 3% SDS, 30% glycerol, 0.01% bromophenol blue, 15% </w:t>
      </w:r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>β-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>mercaptoethanol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br/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Tris-glycine running buffer: </w:t>
      </w:r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 xml:space="preserve">25 mM tris base, 192 mM glycine, 0.1% SDS in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>milliQ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water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br/>
      </w: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Tris-glycine transfer buffer: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25 mM Tris, 192 mM glycine, 20% methanol </w:t>
      </w:r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 xml:space="preserve">in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>milliQ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:shd w:val="clear" w:color="auto" w:fill="FFFFFF"/>
          <w14:ligatures w14:val="none"/>
        </w:rPr>
        <w:t xml:space="preserve"> water. Chill to 4 ̊C. </w:t>
      </w:r>
    </w:p>
    <w:p w:rsidRPr="00482D69" w:rsidR="001757F4" w:rsidP="001757F4" w:rsidRDefault="001757F4" w14:paraId="0E6967BE" w14:textId="77777777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A. Cell culture and treatments </w:t>
      </w:r>
    </w:p>
    <w:p w:rsidRPr="00482D69" w:rsidR="001757F4" w:rsidP="00A56BA2" w:rsidRDefault="001757F4" w14:paraId="3F1B13E6" w14:textId="474893B6">
      <w:pPr>
        <w:pStyle w:val="ListParagraph"/>
        <w:numPr>
          <w:ilvl w:val="0"/>
          <w:numId w:val="3"/>
        </w:numPr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Supplement RIPA buffer with Protease Inhibitor Cocktail (Roche) and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PhosStop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phosphatase inhibitor (Roche) and chill on ice. </w:t>
      </w:r>
    </w:p>
    <w:p w:rsidRPr="00482D69" w:rsidR="001757F4" w:rsidP="001757F4" w:rsidRDefault="001757F4" w14:paraId="0CD746B5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Aspirate media from cells and rinse cells with PBS on ice. Aspirate PBS thoroughly. </w:t>
      </w:r>
    </w:p>
    <w:p w:rsidRPr="00482D69" w:rsidR="001757F4" w:rsidP="001757F4" w:rsidRDefault="001757F4" w14:paraId="39C053AA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Pipette RIPA lysis buffer onto cells and scrape cells using a cell lifter (Corning). </w:t>
      </w:r>
    </w:p>
    <w:p w:rsidRPr="00482D69" w:rsidR="001757F4" w:rsidP="001757F4" w:rsidRDefault="001757F4" w14:paraId="2256664B" w14:textId="7777777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Pipette lysis buffer containing cell mass into Eppendorf tube. </w:t>
      </w:r>
    </w:p>
    <w:p w:rsidRPr="00482D69" w:rsidR="004057D7" w:rsidP="001757F4" w:rsidRDefault="004057D7" w14:paraId="390E3971" w14:textId="77CAFC9D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Treat with </w:t>
      </w:r>
      <w:r w:rsidRPr="00482D69" w:rsidR="00654CFC">
        <w:rPr>
          <w:rFonts w:ascii="Arial" w:hAnsi="Arial" w:eastAsia="Times New Roman" w:cs="Arial"/>
          <w:kern w:val="0"/>
          <w:sz w:val="20"/>
          <w:szCs w:val="20"/>
          <w14:ligatures w14:val="none"/>
        </w:rPr>
        <w:t>2</w:t>
      </w:r>
      <w:r w:rsidRPr="00482D69" w:rsidR="009418A6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5 </w:t>
      </w:r>
      <w:r w:rsidRPr="00482D69" w:rsidR="00654CFC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units of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benzinase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for 5 minutes. </w:t>
      </w:r>
    </w:p>
    <w:p w:rsidRPr="00482D69" w:rsidR="004057D7" w:rsidP="004057D7" w:rsidRDefault="004057D7" w14:paraId="2895E42D" w14:textId="23728B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Spin down at 14000 RPM for 5 minutes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at 4 ̊C. </w:t>
      </w:r>
    </w:p>
    <w:p w:rsidRPr="00482D69" w:rsidR="00DE2152" w:rsidP="00DE2152" w:rsidRDefault="004057D7" w14:paraId="2BBCB4BB" w14:textId="02522756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Collect supernatant.</w:t>
      </w:r>
    </w:p>
    <w:p w:rsidRPr="00482D69" w:rsidR="001757F4" w:rsidP="00DE2152" w:rsidRDefault="001757F4" w14:paraId="3230FD01" w14:textId="31AF437C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Determine protein concentration in sample using Pierce BCA assay (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ThermoFisher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) </w:t>
      </w:r>
    </w:p>
    <w:p w:rsidRPr="00482D69" w:rsidR="001757F4" w:rsidP="001757F4" w:rsidRDefault="001757F4" w14:paraId="1C66E755" w14:textId="7984CA24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Prepare samples at desired concentration and add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4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x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Laemmli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buffer. </w:t>
      </w:r>
    </w:p>
    <w:p w:rsidRPr="00482D69" w:rsidR="001757F4" w:rsidP="001757F4" w:rsidRDefault="001757F4" w14:paraId="32C564CC" w14:textId="77777777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C. Gel electrophoresis and immunoblotting (Tris-glycine buffer system) </w:t>
      </w:r>
    </w:p>
    <w:p w:rsidRPr="00482D69" w:rsidR="001757F4" w:rsidP="001757F4" w:rsidRDefault="001757F4" w14:paraId="59B8B36F" w14:textId="510F962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Incubate samples at 95 ̊C for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3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minutes. </w:t>
      </w:r>
    </w:p>
    <w:p w:rsidRPr="00482D69" w:rsidR="001757F4" w:rsidP="001757F4" w:rsidRDefault="001757F4" w14:paraId="1DC8948D" w14:textId="177B740E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During this incubation, prepare gel apparatus with Mini PROTEAN TGX 4-</w:t>
      </w:r>
      <w:r w:rsidRPr="00482D69" w:rsidR="009B1AE3">
        <w:rPr>
          <w:rFonts w:ascii="Arial" w:hAnsi="Arial" w:eastAsia="Times New Roman" w:cs="Arial"/>
          <w:kern w:val="0"/>
          <w:sz w:val="20"/>
          <w:szCs w:val="20"/>
          <w14:ligatures w14:val="none"/>
        </w:rPr>
        <w:t>15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% tris- </w:t>
      </w:r>
    </w:p>
    <w:p w:rsidRPr="00482D69" w:rsidR="001757F4" w:rsidP="001757F4" w:rsidRDefault="001757F4" w14:paraId="32F795ED" w14:textId="77777777">
      <w:pPr>
        <w:spacing w:before="100" w:beforeAutospacing="1" w:after="100" w:afterAutospacing="1"/>
        <w:ind w:left="720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glycine gels (Bio-Rad) and running buffer. </w:t>
      </w:r>
    </w:p>
    <w:p w:rsidRPr="00482D69" w:rsidR="001757F4" w:rsidP="001757F4" w:rsidRDefault="001757F4" w14:paraId="5F3F817C" w14:textId="25B9FD1B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Load samples into gel and run until dye front reaches bottom (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250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V). </w:t>
      </w:r>
    </w:p>
    <w:p w:rsidRPr="00482D69" w:rsidR="001757F4" w:rsidP="001757F4" w:rsidRDefault="001757F4" w14:paraId="22574A77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Remove gel and set up transfer cassette with nitrocellulose membrane. </w:t>
      </w:r>
    </w:p>
    <w:p w:rsidRPr="00482D69" w:rsidR="001757F4" w:rsidP="001757F4" w:rsidRDefault="001757F4" w14:paraId="09D07799" w14:textId="6D1A3BE3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Transfer at 1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0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0 V for 1 hour in tris-glycine transfer buffer. </w:t>
      </w:r>
    </w:p>
    <w:p w:rsidRPr="00482D69" w:rsidR="001757F4" w:rsidP="001757F4" w:rsidRDefault="001757F4" w14:paraId="1D88DD2F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lastRenderedPageBreak/>
        <w:t xml:space="preserve">Remove nitrocellulose membrane and stain for total protein with ponceau stain. </w:t>
      </w:r>
    </w:p>
    <w:p w:rsidRPr="00482D69" w:rsidR="001757F4" w:rsidP="001757F4" w:rsidRDefault="001757F4" w14:paraId="269A1B2F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Wash with </w:t>
      </w:r>
      <w:proofErr w:type="spell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milliQ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water. </w:t>
      </w:r>
    </w:p>
    <w:p w:rsidRPr="00482D69" w:rsidR="001757F4" w:rsidP="001757F4" w:rsidRDefault="001757F4" w14:paraId="01119C04" w14:textId="57A747CF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Block membrane with 5% milk in TBST for 1 hour at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RT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. </w:t>
      </w:r>
    </w:p>
    <w:p w:rsidRPr="00482D69" w:rsidR="001757F4" w:rsidP="001757F4" w:rsidRDefault="001757F4" w14:paraId="1B9AF2F0" w14:textId="77777777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Incubate membrane with primary antibodies in 2.5% milk in TBST overnight at 4 ̊</w:t>
      </w:r>
      <w:proofErr w:type="gramStart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C .</w:t>
      </w:r>
      <w:proofErr w:type="gram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</w:t>
      </w:r>
    </w:p>
    <w:p w:rsidRPr="00482D69" w:rsidR="001757F4" w:rsidP="001757F4" w:rsidRDefault="001757F4" w14:paraId="22669E7B" w14:textId="77777777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b/>
          <w:bCs/>
          <w:kern w:val="0"/>
          <w:sz w:val="20"/>
          <w:szCs w:val="20"/>
          <w14:ligatures w14:val="none"/>
        </w:rPr>
        <w:t xml:space="preserve">NOTE: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Optimal primary antibody incubation time and temperature can be determined empirically for a given primary antibody </w:t>
      </w:r>
    </w:p>
    <w:p w:rsidRPr="00482D69" w:rsidR="001757F4" w:rsidP="001757F4" w:rsidRDefault="001757F4" w14:paraId="55DAA9FD" w14:textId="2E3056DE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Wash membrane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3X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for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10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minutes with TBST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.</w:t>
      </w:r>
    </w:p>
    <w:p w:rsidRPr="00482D69" w:rsidR="001757F4" w:rsidP="00DE2152" w:rsidRDefault="001757F4" w14:paraId="75B67BA9" w14:textId="4C811C26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Incubate membrane with secondary antibodies conjugated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HRP for 1 hour.</w:t>
      </w:r>
    </w:p>
    <w:p w:rsidRPr="00482D69" w:rsidR="00DE2152" w:rsidP="00DE2152" w:rsidRDefault="001757F4" w14:paraId="7098A774" w14:textId="77777777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Wash membrane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3X </w:t>
      </w: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for 5 minutes with TBST. 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13.</w:t>
      </w:r>
    </w:p>
    <w:p w:rsidRPr="00482D69" w:rsidR="0014760D" w:rsidP="00F93D88" w:rsidRDefault="001757F4" w14:paraId="3693EF48" w14:textId="0788201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Image membranes using a</w:t>
      </w:r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Biorad</w:t>
      </w:r>
      <w:proofErr w:type="spellEnd"/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482D69" w:rsidR="00DE2152">
        <w:rPr>
          <w:rFonts w:ascii="Arial" w:hAnsi="Arial" w:eastAsia="Times New Roman" w:cs="Arial"/>
          <w:kern w:val="0"/>
          <w:sz w:val="20"/>
          <w:szCs w:val="20"/>
          <w14:ligatures w14:val="none"/>
        </w:rPr>
        <w:t>Chemidco</w:t>
      </w:r>
      <w:proofErr w:type="spellEnd"/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 xml:space="preserve">. </w:t>
      </w:r>
    </w:p>
    <w:p w:rsidRPr="00482D69" w:rsidR="00995C10" w:rsidP="00995C10" w:rsidRDefault="00995C10" w14:paraId="30B041E5" w14:textId="129427B8">
      <w:pPr>
        <w:spacing w:before="100" w:beforeAutospacing="1" w:after="100" w:afterAutospacing="1"/>
        <w:rPr>
          <w:rFonts w:ascii="Arial" w:hAnsi="Arial" w:eastAsia="Times New Roman" w:cs="Arial"/>
          <w:kern w:val="0"/>
          <w:sz w:val="20"/>
          <w:szCs w:val="20"/>
          <w14:ligatures w14:val="none"/>
        </w:rPr>
      </w:pPr>
      <w:r w:rsidRPr="00482D69">
        <w:rPr>
          <w:rFonts w:ascii="Arial" w:hAnsi="Arial" w:eastAsia="Times New Roman" w:cs="Arial"/>
          <w:kern w:val="0"/>
          <w:sz w:val="20"/>
          <w:szCs w:val="20"/>
          <w14:ligatures w14:val="none"/>
        </w:rPr>
        <w:t>Antibody dilutions:</w:t>
      </w:r>
    </w:p>
    <w:p w:rsidRPr="00482D69" w:rsidR="005C4FF2" w:rsidP="00995C10" w:rsidRDefault="005C4FF2" w14:paraId="6D2F8F03" w14:textId="548E5D86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Primary antibodies:</w:t>
      </w:r>
    </w:p>
    <w:p w:rsidRPr="00482D69" w:rsidR="00995C10" w:rsidP="00995C10" w:rsidRDefault="00995C10" w14:paraId="76ADAD22" w14:textId="287DD3EC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GAPDH,1:10000 dilution (</w:t>
      </w:r>
      <w:proofErr w:type="spellStart"/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EnCor</w:t>
      </w:r>
      <w:proofErr w:type="spellEnd"/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biotechnology Inc, # MCA-1D4), human specific cathepsin D, 1:4000 dilution (R&amp;D systems #AF1014), mouse specific cathepsin D, 1:5000 dilution (R&amp;D systems #AF1061), human cathepsin B, 1:1000 dilution (R&amp;D systems #AF953), human cathepsin L, 1:10000 dilution (R&amp;D systems # AF952), mouse cathepsin L, 1:2000 dilution (R&amp;D systems # AF1515), human cathepsin C, 1:1000 dilution (R&amp;D systems #AF1071), human GBA, 1:1000 dilution (R&amp;D systems #MAB7410), hLAMP1, 1:2000 dilution (Cell signaling Technology # 9091), mouse LAMP1</w:t>
      </w:r>
      <w:r w:rsidRPr="00482D69" w:rsidR="003F1F76">
        <w:rPr>
          <w:rFonts w:ascii="Arial" w:hAnsi="Arial" w:eastAsia="Arial" w:cs="Arial"/>
          <w:color w:val="000000" w:themeColor="text1"/>
          <w:sz w:val="20"/>
          <w:szCs w:val="20"/>
        </w:rPr>
        <w:t>, 1:2000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(DSHB #ID4B),  MITF</w:t>
      </w:r>
      <w:r w:rsidRPr="00482D69" w:rsidR="003F1F76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(Cell signaling Technology # 125903), MITF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(Abcam #Ab303530), S6K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(Cell signaling Technology #9202 ), S6K-Phospho-T389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(Cell signaling Technology #9205), human TFEB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(Cell signaling Technology #37785), mouse TFEB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</w:t>
      </w:r>
      <w:proofErr w:type="spellStart"/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Proteintech</w:t>
      </w:r>
      <w:proofErr w:type="spellEnd"/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#13372-1-AP), TFE3</w:t>
      </w:r>
      <w:r w:rsidRPr="00482D69" w:rsidR="00501D30">
        <w:rPr>
          <w:rFonts w:ascii="Arial" w:hAnsi="Arial" w:eastAsia="Arial" w:cs="Arial"/>
          <w:color w:val="000000" w:themeColor="text1"/>
          <w:sz w:val="20"/>
          <w:szCs w:val="20"/>
        </w:rPr>
        <w:t>, 1:1000 dilution</w:t>
      </w: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 xml:space="preserve"> (Sigma #HPA023881).</w:t>
      </w:r>
    </w:p>
    <w:p w:rsidRPr="00482D69" w:rsidR="005C4FF2" w:rsidP="00995C10" w:rsidRDefault="005C4FF2" w14:paraId="69B9F0E7" w14:textId="77777777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Pr="00482D69" w:rsidR="005C4FF2" w:rsidP="005C4FF2" w:rsidRDefault="005C4FF2" w14:paraId="757DB161" w14:textId="272B7586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  <w:sz w:val="20"/>
          <w:szCs w:val="20"/>
        </w:rPr>
      </w:pP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Secondary antibodies:</w:t>
      </w:r>
    </w:p>
    <w:p w:rsidR="005C4FF2" w:rsidP="005C4FF2" w:rsidRDefault="005C4FF2" w14:paraId="56FB05FC" w14:textId="7D30BFFC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</w:rPr>
      </w:pPr>
      <w:r w:rsidRPr="00482D69">
        <w:rPr>
          <w:rFonts w:ascii="Arial" w:hAnsi="Arial" w:eastAsia="Arial" w:cs="Arial"/>
          <w:color w:val="000000" w:themeColor="text1"/>
          <w:sz w:val="20"/>
          <w:szCs w:val="20"/>
        </w:rPr>
        <w:t>All the HRP tagged secondary antibodies are purchased from Cell signaling Technology and diluted at 1:2000 ratio.</w:t>
      </w:r>
    </w:p>
    <w:p w:rsidR="005C4FF2" w:rsidP="005C4FF2" w:rsidRDefault="005C4FF2" w14:paraId="70985084" w14:textId="772167A4">
      <w:pPr>
        <w:spacing w:before="100" w:beforeAutospacing="1" w:after="100" w:afterAutospacing="1"/>
        <w:rPr>
          <w:rFonts w:ascii="Arial" w:hAnsi="Arial" w:eastAsia="Arial" w:cs="Arial"/>
          <w:color w:val="000000" w:themeColor="text1"/>
        </w:rPr>
      </w:pPr>
    </w:p>
    <w:p w:rsidRPr="00F93D88" w:rsidR="005C4FF2" w:rsidP="00995C10" w:rsidRDefault="005C4FF2" w14:paraId="60BE0975" w14:textId="77777777">
      <w:pPr>
        <w:spacing w:before="100" w:beforeAutospacing="1" w:after="100" w:afterAutospacing="1"/>
        <w:rPr>
          <w:rFonts w:ascii="TimesNewRomanPSMT" w:hAnsi="TimesNewRomanPSMT" w:eastAsia="Times New Roman" w:cs="Times New Roman"/>
          <w:kern w:val="0"/>
          <w14:ligatures w14:val="none"/>
        </w:rPr>
      </w:pPr>
    </w:p>
    <w:sectPr w:rsidRPr="00F93D88" w:rsidR="005C4FF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7A06"/>
    <w:multiLevelType w:val="multilevel"/>
    <w:tmpl w:val="37AC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70C11"/>
    <w:multiLevelType w:val="multilevel"/>
    <w:tmpl w:val="258CE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27C71"/>
    <w:multiLevelType w:val="multilevel"/>
    <w:tmpl w:val="93C8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E01BF"/>
    <w:multiLevelType w:val="multilevel"/>
    <w:tmpl w:val="382E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6303D"/>
    <w:multiLevelType w:val="multilevel"/>
    <w:tmpl w:val="BAE6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F0F0D"/>
    <w:multiLevelType w:val="multilevel"/>
    <w:tmpl w:val="2698DC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7E003E"/>
    <w:multiLevelType w:val="multilevel"/>
    <w:tmpl w:val="10280E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FB36D3"/>
    <w:multiLevelType w:val="multilevel"/>
    <w:tmpl w:val="F586C9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122249">
    <w:abstractNumId w:val="4"/>
  </w:num>
  <w:num w:numId="2" w16cid:durableId="580215421">
    <w:abstractNumId w:val="1"/>
  </w:num>
  <w:num w:numId="3" w16cid:durableId="829058980">
    <w:abstractNumId w:val="2"/>
  </w:num>
  <w:num w:numId="4" w16cid:durableId="1133720536">
    <w:abstractNumId w:val="6"/>
  </w:num>
  <w:num w:numId="5" w16cid:durableId="721638497">
    <w:abstractNumId w:val="0"/>
  </w:num>
  <w:num w:numId="6" w16cid:durableId="1702589379">
    <w:abstractNumId w:val="7"/>
  </w:num>
  <w:num w:numId="7" w16cid:durableId="1226911212">
    <w:abstractNumId w:val="3"/>
  </w:num>
  <w:num w:numId="8" w16cid:durableId="1614942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F4"/>
    <w:rsid w:val="0014760D"/>
    <w:rsid w:val="001757F4"/>
    <w:rsid w:val="003F1F76"/>
    <w:rsid w:val="004057D7"/>
    <w:rsid w:val="004544E6"/>
    <w:rsid w:val="00482D69"/>
    <w:rsid w:val="00501D30"/>
    <w:rsid w:val="005C4FF2"/>
    <w:rsid w:val="00654CFC"/>
    <w:rsid w:val="00844B70"/>
    <w:rsid w:val="00875B34"/>
    <w:rsid w:val="009418A6"/>
    <w:rsid w:val="00995C10"/>
    <w:rsid w:val="009B1AE3"/>
    <w:rsid w:val="00A56BA2"/>
    <w:rsid w:val="00B84953"/>
    <w:rsid w:val="00C535C5"/>
    <w:rsid w:val="00DE2152"/>
    <w:rsid w:val="00F93D88"/>
    <w:rsid w:val="03DB111B"/>
    <w:rsid w:val="4849A4D9"/>
    <w:rsid w:val="4BD2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6E860"/>
  <w15:chartTrackingRefBased/>
  <w15:docId w15:val="{803AC470-15AB-9B4C-AABA-2421ADA4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7F4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E2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9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3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Yadavalli, Narayana</dc:creator>
  <keywords/>
  <dc:description/>
  <lastModifiedBy>Ugur, Berrak</lastModifiedBy>
  <revision>20</revision>
  <dcterms:created xsi:type="dcterms:W3CDTF">2023-05-16T18:14:00.0000000Z</dcterms:created>
  <dcterms:modified xsi:type="dcterms:W3CDTF">2023-05-23T19:28:04.4026618Z</dcterms:modified>
</coreProperties>
</file>