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4D8EC" w14:textId="162A7BD1" w:rsidR="00C740D4" w:rsidRPr="009A61E9" w:rsidRDefault="000E1DFC">
      <w:pPr>
        <w:rPr>
          <w:rFonts w:ascii="Garamond" w:hAnsi="Garamond"/>
        </w:rPr>
      </w:pPr>
      <w:r w:rsidRPr="009A61E9">
        <w:rPr>
          <w:rFonts w:ascii="Garamond" w:hAnsi="Garamond"/>
        </w:rPr>
        <w:t xml:space="preserve">Title: Protocol for </w:t>
      </w:r>
      <w:r w:rsidR="00390152" w:rsidRPr="009A61E9">
        <w:rPr>
          <w:rFonts w:ascii="Garamond" w:hAnsi="Garamond"/>
        </w:rPr>
        <w:t xml:space="preserve">identifying Highly Pathogenic </w:t>
      </w:r>
      <w:r w:rsidR="00390152" w:rsidRPr="009A61E9">
        <w:rPr>
          <w:rFonts w:ascii="Garamond" w:hAnsi="Garamond"/>
          <w:i/>
          <w:iCs/>
        </w:rPr>
        <w:t>Salmonella</w:t>
      </w:r>
      <w:r w:rsidRPr="009A61E9">
        <w:rPr>
          <w:rFonts w:ascii="Garamond" w:hAnsi="Garamond"/>
        </w:rPr>
        <w:t xml:space="preserve"> using </w:t>
      </w:r>
      <w:r w:rsidR="00390152" w:rsidRPr="009A61E9">
        <w:rPr>
          <w:rFonts w:ascii="Garamond" w:hAnsi="Garamond"/>
        </w:rPr>
        <w:t>the HPS Multiplex PCR assay</w:t>
      </w:r>
    </w:p>
    <w:p w14:paraId="5BC24277" w14:textId="77777777" w:rsidR="000E1DFC" w:rsidRPr="009A61E9" w:rsidRDefault="000E1DFC">
      <w:pPr>
        <w:rPr>
          <w:rFonts w:ascii="Garamond" w:hAnsi="Garamond"/>
        </w:rPr>
      </w:pPr>
    </w:p>
    <w:p w14:paraId="15C5E60E" w14:textId="5ED0ED6B" w:rsidR="00762111" w:rsidRDefault="000E1DFC" w:rsidP="00762111">
      <w:pPr>
        <w:rPr>
          <w:rFonts w:ascii="Garamond" w:hAnsi="Garamond"/>
        </w:rPr>
      </w:pPr>
      <w:r w:rsidRPr="009A61E9">
        <w:rPr>
          <w:rFonts w:ascii="Garamond" w:hAnsi="Garamond"/>
        </w:rPr>
        <w:t xml:space="preserve">Abstract: </w:t>
      </w:r>
      <w:r w:rsidR="00390152" w:rsidRPr="009A61E9">
        <w:rPr>
          <w:rFonts w:ascii="Garamond" w:hAnsi="Garamond"/>
        </w:rPr>
        <w:t>This protocol describes how to</w:t>
      </w:r>
      <w:r w:rsidR="00D777CD" w:rsidRPr="009A61E9">
        <w:rPr>
          <w:rFonts w:ascii="Garamond" w:hAnsi="Garamond"/>
        </w:rPr>
        <w:t xml:space="preserve"> perform </w:t>
      </w:r>
      <w:r w:rsidR="008B4CCD" w:rsidRPr="009A61E9">
        <w:rPr>
          <w:rFonts w:ascii="Garamond" w:hAnsi="Garamond"/>
        </w:rPr>
        <w:t xml:space="preserve">a multiplex PCR assay for the identification of Highly Pathogenic </w:t>
      </w:r>
      <w:r w:rsidR="008B4CCD" w:rsidRPr="009A61E9">
        <w:rPr>
          <w:rFonts w:ascii="Garamond" w:hAnsi="Garamond"/>
          <w:i/>
          <w:iCs/>
        </w:rPr>
        <w:t>Salmonella</w:t>
      </w:r>
      <w:r w:rsidR="008B4CCD" w:rsidRPr="009A61E9">
        <w:rPr>
          <w:rFonts w:ascii="Garamond" w:hAnsi="Garamond"/>
        </w:rPr>
        <w:t xml:space="preserve"> (HPS)</w:t>
      </w:r>
      <w:r w:rsidR="00FA0C88">
        <w:rPr>
          <w:rFonts w:ascii="Garamond" w:hAnsi="Garamond"/>
        </w:rPr>
        <w:t xml:space="preserve">. The assay targets eight virulence genes </w:t>
      </w:r>
      <w:r w:rsidR="004F0E9C">
        <w:rPr>
          <w:rFonts w:ascii="Garamond" w:hAnsi="Garamond"/>
        </w:rPr>
        <w:t>including</w:t>
      </w:r>
      <w:r w:rsidR="00807154">
        <w:rPr>
          <w:rFonts w:ascii="Garamond" w:hAnsi="Garamond"/>
        </w:rPr>
        <w:t>:</w:t>
      </w:r>
      <w:r w:rsidR="004F0E9C">
        <w:rPr>
          <w:rFonts w:ascii="Garamond" w:hAnsi="Garamond"/>
        </w:rPr>
        <w:t xml:space="preserve"> </w:t>
      </w:r>
      <w:r w:rsidR="004F0E9C" w:rsidRPr="003B6FFA">
        <w:rPr>
          <w:rFonts w:ascii="Garamond" w:hAnsi="Garamond"/>
          <w:i/>
          <w:iCs/>
        </w:rPr>
        <w:t>ssek2</w:t>
      </w:r>
      <w:r w:rsidR="004F0E9C">
        <w:rPr>
          <w:rFonts w:ascii="Garamond" w:hAnsi="Garamond"/>
        </w:rPr>
        <w:t xml:space="preserve"> (HPS-6), </w:t>
      </w:r>
      <w:r w:rsidR="004F0E9C" w:rsidRPr="003B6FFA">
        <w:rPr>
          <w:rFonts w:ascii="Garamond" w:hAnsi="Garamond"/>
          <w:i/>
          <w:iCs/>
        </w:rPr>
        <w:t>sseK3</w:t>
      </w:r>
      <w:r w:rsidR="004F0E9C">
        <w:rPr>
          <w:rFonts w:ascii="Garamond" w:hAnsi="Garamond"/>
        </w:rPr>
        <w:t xml:space="preserve"> (HPS-1), </w:t>
      </w:r>
      <w:proofErr w:type="spellStart"/>
      <w:r w:rsidR="004F0E9C" w:rsidRPr="003B6FFA">
        <w:rPr>
          <w:rFonts w:ascii="Garamond" w:hAnsi="Garamond"/>
          <w:i/>
          <w:iCs/>
        </w:rPr>
        <w:t>avrA</w:t>
      </w:r>
      <w:proofErr w:type="spellEnd"/>
      <w:r w:rsidR="004F0E9C">
        <w:rPr>
          <w:rFonts w:ascii="Garamond" w:hAnsi="Garamond"/>
        </w:rPr>
        <w:t xml:space="preserve"> (HPS-3), </w:t>
      </w:r>
      <w:proofErr w:type="spellStart"/>
      <w:r w:rsidR="004F0E9C" w:rsidRPr="003B6FFA">
        <w:rPr>
          <w:rFonts w:ascii="Garamond" w:hAnsi="Garamond"/>
          <w:i/>
          <w:iCs/>
        </w:rPr>
        <w:t>lpfB</w:t>
      </w:r>
      <w:proofErr w:type="spellEnd"/>
      <w:r w:rsidR="004F0E9C">
        <w:rPr>
          <w:rFonts w:ascii="Garamond" w:hAnsi="Garamond"/>
        </w:rPr>
        <w:t xml:space="preserve"> (HPS-5), </w:t>
      </w:r>
      <w:proofErr w:type="spellStart"/>
      <w:r w:rsidR="004F0E9C" w:rsidRPr="003B6FFA">
        <w:rPr>
          <w:rFonts w:ascii="Garamond" w:hAnsi="Garamond"/>
          <w:i/>
          <w:iCs/>
        </w:rPr>
        <w:t>spvD</w:t>
      </w:r>
      <w:proofErr w:type="spellEnd"/>
      <w:r w:rsidR="004F0E9C">
        <w:rPr>
          <w:rFonts w:ascii="Garamond" w:hAnsi="Garamond"/>
        </w:rPr>
        <w:t xml:space="preserve"> (HPS-4), </w:t>
      </w:r>
      <w:r w:rsidR="00807154" w:rsidRPr="003B6FFA">
        <w:rPr>
          <w:rFonts w:ascii="Garamond" w:hAnsi="Garamond"/>
          <w:i/>
          <w:iCs/>
        </w:rPr>
        <w:t>sspH2</w:t>
      </w:r>
      <w:r w:rsidR="00807154">
        <w:rPr>
          <w:rFonts w:ascii="Garamond" w:hAnsi="Garamond"/>
        </w:rPr>
        <w:t xml:space="preserve"> (HPS-7), </w:t>
      </w:r>
      <w:proofErr w:type="spellStart"/>
      <w:r w:rsidR="00807154" w:rsidRPr="003B6FFA">
        <w:rPr>
          <w:rFonts w:ascii="Garamond" w:hAnsi="Garamond"/>
          <w:i/>
          <w:iCs/>
        </w:rPr>
        <w:t>gtgA</w:t>
      </w:r>
      <w:proofErr w:type="spellEnd"/>
      <w:r w:rsidR="00807154">
        <w:rPr>
          <w:rFonts w:ascii="Garamond" w:hAnsi="Garamond"/>
        </w:rPr>
        <w:t xml:space="preserve"> (HPS-2) and </w:t>
      </w:r>
      <w:proofErr w:type="spellStart"/>
      <w:r w:rsidR="00807154" w:rsidRPr="003B6FFA">
        <w:rPr>
          <w:rFonts w:ascii="Garamond" w:hAnsi="Garamond"/>
          <w:i/>
          <w:iCs/>
        </w:rPr>
        <w:t>invA</w:t>
      </w:r>
      <w:proofErr w:type="spellEnd"/>
      <w:r w:rsidR="00807154">
        <w:rPr>
          <w:rFonts w:ascii="Garamond" w:hAnsi="Garamond"/>
        </w:rPr>
        <w:t xml:space="preserve"> (</w:t>
      </w:r>
      <w:proofErr w:type="spellStart"/>
      <w:r w:rsidR="00807154">
        <w:rPr>
          <w:rFonts w:ascii="Garamond" w:hAnsi="Garamond"/>
        </w:rPr>
        <w:t>i</w:t>
      </w:r>
      <w:proofErr w:type="spellEnd"/>
      <w:r w:rsidR="00807154">
        <w:rPr>
          <w:rFonts w:ascii="Garamond" w:hAnsi="Garamond"/>
        </w:rPr>
        <w:t xml:space="preserve">). </w:t>
      </w:r>
      <w:r w:rsidR="004F0E9C">
        <w:rPr>
          <w:rFonts w:ascii="Garamond" w:hAnsi="Garamond"/>
        </w:rPr>
        <w:t xml:space="preserve"> </w:t>
      </w:r>
      <w:r w:rsidR="00AC0184">
        <w:rPr>
          <w:rFonts w:ascii="Garamond" w:hAnsi="Garamond"/>
        </w:rPr>
        <w:t>Comparative genomic r</w:t>
      </w:r>
      <w:r w:rsidR="000F7ADC">
        <w:rPr>
          <w:rFonts w:ascii="Garamond" w:hAnsi="Garamond"/>
        </w:rPr>
        <w:t xml:space="preserve">esearch </w:t>
      </w:r>
      <w:r w:rsidR="00AC0184">
        <w:rPr>
          <w:rFonts w:ascii="Garamond" w:hAnsi="Garamond"/>
        </w:rPr>
        <w:t xml:space="preserve">using </w:t>
      </w:r>
      <w:r w:rsidR="001A541D">
        <w:rPr>
          <w:rFonts w:ascii="Garamond" w:hAnsi="Garamond"/>
        </w:rPr>
        <w:t xml:space="preserve">23 complete closed </w:t>
      </w:r>
      <w:r w:rsidR="001A541D" w:rsidRPr="003B6FFA">
        <w:rPr>
          <w:rFonts w:ascii="Garamond" w:hAnsi="Garamond"/>
          <w:i/>
          <w:iCs/>
        </w:rPr>
        <w:t>Salmonella</w:t>
      </w:r>
      <w:r w:rsidR="001A541D">
        <w:rPr>
          <w:rFonts w:ascii="Garamond" w:hAnsi="Garamond"/>
        </w:rPr>
        <w:t xml:space="preserve"> genome sequences (1-23</w:t>
      </w:r>
      <w:r w:rsidR="00EB3C49">
        <w:rPr>
          <w:rFonts w:ascii="Garamond" w:hAnsi="Garamond"/>
        </w:rPr>
        <w:t xml:space="preserve">) </w:t>
      </w:r>
      <w:r w:rsidR="00FB5DFF">
        <w:rPr>
          <w:rFonts w:ascii="Garamond" w:hAnsi="Garamond"/>
        </w:rPr>
        <w:t>revealed</w:t>
      </w:r>
      <w:r w:rsidR="000F7ADC">
        <w:rPr>
          <w:rFonts w:ascii="Garamond" w:hAnsi="Garamond"/>
        </w:rPr>
        <w:t xml:space="preserve"> these genes to be </w:t>
      </w:r>
      <w:r w:rsidR="00FA0C88">
        <w:rPr>
          <w:rFonts w:ascii="Garamond" w:hAnsi="Garamond"/>
        </w:rPr>
        <w:t xml:space="preserve">shared among </w:t>
      </w:r>
      <w:r w:rsidR="00FA0C88" w:rsidRPr="003B6FFA">
        <w:rPr>
          <w:rFonts w:ascii="Garamond" w:hAnsi="Garamond"/>
          <w:i/>
          <w:iCs/>
        </w:rPr>
        <w:t>Salmonella</w:t>
      </w:r>
      <w:r w:rsidR="00FA0C88">
        <w:rPr>
          <w:rFonts w:ascii="Garamond" w:hAnsi="Garamond"/>
        </w:rPr>
        <w:t xml:space="preserve"> serotypes noted for being invasive and/or causing mos</w:t>
      </w:r>
      <w:r w:rsidR="008E0AEE">
        <w:rPr>
          <w:rFonts w:ascii="Garamond" w:hAnsi="Garamond"/>
        </w:rPr>
        <w:t>t cases of salmonellosis</w:t>
      </w:r>
      <w:r w:rsidR="00FA0C88">
        <w:rPr>
          <w:rFonts w:ascii="Garamond" w:hAnsi="Garamond"/>
        </w:rPr>
        <w:t xml:space="preserve"> (</w:t>
      </w:r>
      <w:r w:rsidR="00FD46AF">
        <w:rPr>
          <w:rFonts w:ascii="Garamond" w:hAnsi="Garamond"/>
        </w:rPr>
        <w:t xml:space="preserve">i.e. </w:t>
      </w:r>
      <w:r w:rsidR="00FA0C88">
        <w:rPr>
          <w:rFonts w:ascii="Garamond" w:hAnsi="Garamond"/>
        </w:rPr>
        <w:t>consistently on the CDC</w:t>
      </w:r>
      <w:r w:rsidR="000F7ADC">
        <w:rPr>
          <w:rFonts w:ascii="Garamond" w:hAnsi="Garamond"/>
        </w:rPr>
        <w:t>’</w:t>
      </w:r>
      <w:r w:rsidR="00FA0C88">
        <w:rPr>
          <w:rFonts w:ascii="Garamond" w:hAnsi="Garamond"/>
        </w:rPr>
        <w:t>s list of top 20 serotypes attributed to human illness</w:t>
      </w:r>
      <w:r w:rsidR="00807154">
        <w:rPr>
          <w:rFonts w:ascii="Garamond" w:hAnsi="Garamond"/>
        </w:rPr>
        <w:t>) but</w:t>
      </w:r>
      <w:r w:rsidR="00FA0C88">
        <w:rPr>
          <w:rFonts w:ascii="Garamond" w:hAnsi="Garamond"/>
        </w:rPr>
        <w:t xml:space="preserve"> </w:t>
      </w:r>
      <w:r w:rsidR="00044358">
        <w:rPr>
          <w:rFonts w:ascii="Garamond" w:hAnsi="Garamond"/>
        </w:rPr>
        <w:t xml:space="preserve">to </w:t>
      </w:r>
      <w:proofErr w:type="spellStart"/>
      <w:r w:rsidR="00044358">
        <w:rPr>
          <w:rFonts w:ascii="Garamond" w:hAnsi="Garamond"/>
        </w:rPr>
        <w:t>varing</w:t>
      </w:r>
      <w:proofErr w:type="spellEnd"/>
      <w:r w:rsidR="00044358">
        <w:rPr>
          <w:rFonts w:ascii="Garamond" w:hAnsi="Garamond"/>
        </w:rPr>
        <w:t xml:space="preserve"> degrees</w:t>
      </w:r>
      <w:r w:rsidR="00FA0C88">
        <w:rPr>
          <w:rFonts w:ascii="Garamond" w:hAnsi="Garamond"/>
        </w:rPr>
        <w:t xml:space="preserve"> absent among serotypes that are less frequently associated with human illness. </w:t>
      </w:r>
      <w:r w:rsidR="005179C2">
        <w:rPr>
          <w:rFonts w:ascii="Garamond" w:hAnsi="Garamond"/>
        </w:rPr>
        <w:t>Validation of this assay with</w:t>
      </w:r>
      <w:r w:rsidR="00AE2A8A">
        <w:rPr>
          <w:rFonts w:ascii="Garamond" w:hAnsi="Garamond"/>
        </w:rPr>
        <w:t xml:space="preserve"> 1303</w:t>
      </w:r>
      <w:r w:rsidR="005179C2">
        <w:rPr>
          <w:rFonts w:ascii="Garamond" w:hAnsi="Garamond"/>
        </w:rPr>
        <w:t xml:space="preserve"> </w:t>
      </w:r>
      <w:r w:rsidR="005179C2" w:rsidRPr="003B6FFA">
        <w:rPr>
          <w:rFonts w:ascii="Garamond" w:hAnsi="Garamond"/>
          <w:i/>
          <w:iCs/>
        </w:rPr>
        <w:t>Salmonella</w:t>
      </w:r>
      <w:r w:rsidR="005179C2">
        <w:rPr>
          <w:rFonts w:ascii="Garamond" w:hAnsi="Garamond"/>
        </w:rPr>
        <w:t xml:space="preserve"> of 69 different serotypes confirmed the utility of this assay for identifying </w:t>
      </w:r>
      <w:r w:rsidR="009C2414">
        <w:rPr>
          <w:rFonts w:ascii="Garamond" w:hAnsi="Garamond"/>
        </w:rPr>
        <w:t>HPS (</w:t>
      </w:r>
      <w:proofErr w:type="spellStart"/>
      <w:r w:rsidR="009C2414">
        <w:rPr>
          <w:rFonts w:ascii="Garamond" w:hAnsi="Garamond"/>
        </w:rPr>
        <w:t>Harhay</w:t>
      </w:r>
      <w:proofErr w:type="spellEnd"/>
      <w:r w:rsidR="009C2414">
        <w:rPr>
          <w:rFonts w:ascii="Garamond" w:hAnsi="Garamond"/>
        </w:rPr>
        <w:t xml:space="preserve"> et</w:t>
      </w:r>
      <w:r w:rsidR="00E65AB9">
        <w:rPr>
          <w:rFonts w:ascii="Garamond" w:hAnsi="Garamond"/>
        </w:rPr>
        <w:t>.</w:t>
      </w:r>
      <w:r w:rsidR="009C2414">
        <w:rPr>
          <w:rFonts w:ascii="Garamond" w:hAnsi="Garamond"/>
        </w:rPr>
        <w:t xml:space="preserve"> al</w:t>
      </w:r>
      <w:r w:rsidR="00E65AB9">
        <w:rPr>
          <w:rFonts w:ascii="Garamond" w:hAnsi="Garamond"/>
        </w:rPr>
        <w:t>.,</w:t>
      </w:r>
      <w:r w:rsidR="009C2414">
        <w:rPr>
          <w:rFonts w:ascii="Garamond" w:hAnsi="Garamond"/>
        </w:rPr>
        <w:t xml:space="preserve"> in preparation). </w:t>
      </w:r>
      <w:r w:rsidR="00CE7DA4" w:rsidRPr="003B6FFA">
        <w:rPr>
          <w:rFonts w:ascii="Garamond" w:hAnsi="Garamond"/>
          <w:i/>
          <w:iCs/>
        </w:rPr>
        <w:t>Salmonella</w:t>
      </w:r>
      <w:r w:rsidR="00CE7DA4">
        <w:rPr>
          <w:rFonts w:ascii="Garamond" w:hAnsi="Garamond"/>
        </w:rPr>
        <w:t xml:space="preserve"> </w:t>
      </w:r>
      <w:r w:rsidR="00F9218F">
        <w:rPr>
          <w:rFonts w:ascii="Garamond" w:hAnsi="Garamond"/>
        </w:rPr>
        <w:t>samples that</w:t>
      </w:r>
      <w:r w:rsidR="00FA0C88">
        <w:rPr>
          <w:rFonts w:ascii="Garamond" w:hAnsi="Garamond"/>
        </w:rPr>
        <w:t xml:space="preserve"> result in the amplification of five or more targets are identified as HPS</w:t>
      </w:r>
      <w:r w:rsidR="00807154">
        <w:rPr>
          <w:rFonts w:ascii="Garamond" w:hAnsi="Garamond"/>
        </w:rPr>
        <w:t>, and the markers amplified are reported as an HPS index (</w:t>
      </w:r>
      <w:proofErr w:type="spellStart"/>
      <w:r w:rsidR="00807154">
        <w:rPr>
          <w:rFonts w:ascii="Garamond" w:hAnsi="Garamond"/>
        </w:rPr>
        <w:t>HPSi</w:t>
      </w:r>
      <w:proofErr w:type="spellEnd"/>
      <w:r w:rsidR="00807154">
        <w:rPr>
          <w:rFonts w:ascii="Garamond" w:hAnsi="Garamond"/>
        </w:rPr>
        <w:t>)</w:t>
      </w:r>
      <w:r w:rsidR="00FA0C88">
        <w:rPr>
          <w:rFonts w:ascii="Garamond" w:hAnsi="Garamond"/>
        </w:rPr>
        <w:t xml:space="preserve">. The assay described is intended for use with DNA lysates of </w:t>
      </w:r>
      <w:r w:rsidR="00FA0C88" w:rsidRPr="003B6FFA">
        <w:rPr>
          <w:rFonts w:ascii="Garamond" w:hAnsi="Garamond"/>
          <w:i/>
          <w:iCs/>
        </w:rPr>
        <w:t>Salmonella</w:t>
      </w:r>
      <w:r w:rsidR="00FA0C88">
        <w:rPr>
          <w:rFonts w:ascii="Garamond" w:hAnsi="Garamond"/>
        </w:rPr>
        <w:t xml:space="preserve"> isolates, not lysates of enrichment cultures</w:t>
      </w:r>
      <w:r w:rsidR="00807154">
        <w:rPr>
          <w:rFonts w:ascii="Garamond" w:hAnsi="Garamond"/>
        </w:rPr>
        <w:t>,</w:t>
      </w:r>
      <w:r w:rsidR="00FA0C88">
        <w:rPr>
          <w:rFonts w:ascii="Garamond" w:hAnsi="Garamond"/>
        </w:rPr>
        <w:t xml:space="preserve"> where more than one </w:t>
      </w:r>
      <w:r w:rsidR="00FA0C88" w:rsidRPr="003B6FFA">
        <w:rPr>
          <w:rFonts w:ascii="Garamond" w:hAnsi="Garamond"/>
          <w:i/>
          <w:iCs/>
        </w:rPr>
        <w:t>Salmonella</w:t>
      </w:r>
      <w:r w:rsidR="00FA0C88">
        <w:rPr>
          <w:rFonts w:ascii="Garamond" w:hAnsi="Garamond"/>
        </w:rPr>
        <w:t xml:space="preserve"> serotype may be present. </w:t>
      </w:r>
      <w:r w:rsidR="00807154">
        <w:rPr>
          <w:rFonts w:ascii="Garamond" w:hAnsi="Garamond"/>
        </w:rPr>
        <w:t xml:space="preserve">Notably, the HPS assay is not serotype specific (i.e. the results do not indicate the presence of a particular serotype) rather it provides an indication of the potential pathogenicity of the </w:t>
      </w:r>
      <w:r w:rsidR="00807154" w:rsidRPr="003B6FFA">
        <w:rPr>
          <w:rFonts w:ascii="Garamond" w:hAnsi="Garamond"/>
          <w:i/>
          <w:iCs/>
        </w:rPr>
        <w:t>Salmonella</w:t>
      </w:r>
      <w:r w:rsidR="00807154">
        <w:rPr>
          <w:rFonts w:ascii="Garamond" w:hAnsi="Garamond"/>
        </w:rPr>
        <w:t xml:space="preserve"> being detected. </w:t>
      </w:r>
      <w:r w:rsidR="00FA0C88">
        <w:rPr>
          <w:rFonts w:ascii="Garamond" w:hAnsi="Garamond"/>
        </w:rPr>
        <w:t xml:space="preserve">This protocol </w:t>
      </w:r>
      <w:r w:rsidR="008B4CCD" w:rsidRPr="009A61E9">
        <w:rPr>
          <w:rFonts w:ascii="Garamond" w:hAnsi="Garamond"/>
        </w:rPr>
        <w:t>includ</w:t>
      </w:r>
      <w:r w:rsidR="00FA0C88">
        <w:rPr>
          <w:rFonts w:ascii="Garamond" w:hAnsi="Garamond"/>
        </w:rPr>
        <w:t>es information on the</w:t>
      </w:r>
      <w:r w:rsidR="008B4CCD" w:rsidRPr="009A61E9">
        <w:rPr>
          <w:rFonts w:ascii="Garamond" w:hAnsi="Garamond"/>
        </w:rPr>
        <w:t xml:space="preserve"> generation of template DNA, </w:t>
      </w:r>
      <w:r w:rsidR="000F7ADC">
        <w:rPr>
          <w:rFonts w:ascii="Garamond" w:hAnsi="Garamond"/>
        </w:rPr>
        <w:t xml:space="preserve">primer sequences needed, </w:t>
      </w:r>
      <w:r w:rsidR="008B4CCD" w:rsidRPr="009A61E9">
        <w:rPr>
          <w:rFonts w:ascii="Garamond" w:hAnsi="Garamond"/>
        </w:rPr>
        <w:t>construction of the PCR master mix, thermal cycler program used for amplification, parameters for DNA gel electrophoresis</w:t>
      </w:r>
      <w:r w:rsidR="00BB4400" w:rsidRPr="009A61E9">
        <w:rPr>
          <w:rFonts w:ascii="Garamond" w:hAnsi="Garamond"/>
        </w:rPr>
        <w:t xml:space="preserve">, and </w:t>
      </w:r>
      <w:r w:rsidR="008B4CCD" w:rsidRPr="009A61E9">
        <w:rPr>
          <w:rFonts w:ascii="Garamond" w:hAnsi="Garamond"/>
        </w:rPr>
        <w:t>amplicon visu</w:t>
      </w:r>
      <w:r w:rsidR="00BB4400" w:rsidRPr="009A61E9">
        <w:rPr>
          <w:rFonts w:ascii="Garamond" w:hAnsi="Garamond"/>
        </w:rPr>
        <w:t>a</w:t>
      </w:r>
      <w:r w:rsidR="008B4CCD" w:rsidRPr="009A61E9">
        <w:rPr>
          <w:rFonts w:ascii="Garamond" w:hAnsi="Garamond"/>
        </w:rPr>
        <w:t>l</w:t>
      </w:r>
      <w:r w:rsidR="00BB4400" w:rsidRPr="009A61E9">
        <w:rPr>
          <w:rFonts w:ascii="Garamond" w:hAnsi="Garamond"/>
        </w:rPr>
        <w:t>iz</w:t>
      </w:r>
      <w:r w:rsidR="008B4CCD" w:rsidRPr="009A61E9">
        <w:rPr>
          <w:rFonts w:ascii="Garamond" w:hAnsi="Garamond"/>
        </w:rPr>
        <w:t xml:space="preserve">ation and </w:t>
      </w:r>
      <w:r w:rsidR="00BB4400" w:rsidRPr="009A61E9">
        <w:rPr>
          <w:rFonts w:ascii="Garamond" w:hAnsi="Garamond"/>
        </w:rPr>
        <w:t xml:space="preserve">scoring. </w:t>
      </w:r>
      <w:r w:rsidR="003926D2">
        <w:rPr>
          <w:rFonts w:ascii="Garamond" w:hAnsi="Garamond"/>
        </w:rPr>
        <w:t>Further evidence of the utility of the</w:t>
      </w:r>
      <w:r w:rsidR="00270317">
        <w:rPr>
          <w:rFonts w:ascii="Garamond" w:hAnsi="Garamond"/>
        </w:rPr>
        <w:t xml:space="preserve"> HPS</w:t>
      </w:r>
      <w:r w:rsidR="00762111">
        <w:rPr>
          <w:rFonts w:ascii="Garamond" w:hAnsi="Garamond"/>
        </w:rPr>
        <w:t xml:space="preserve"> gene</w:t>
      </w:r>
      <w:r w:rsidR="00270317">
        <w:rPr>
          <w:rFonts w:ascii="Garamond" w:hAnsi="Garamond"/>
        </w:rPr>
        <w:t xml:space="preserve"> targets</w:t>
      </w:r>
      <w:r w:rsidR="00F15CFF">
        <w:rPr>
          <w:rFonts w:ascii="Garamond" w:hAnsi="Garamond"/>
        </w:rPr>
        <w:t xml:space="preserve"> is their </w:t>
      </w:r>
      <w:r w:rsidR="00762111">
        <w:rPr>
          <w:rFonts w:ascii="Garamond" w:hAnsi="Garamond"/>
        </w:rPr>
        <w:t>recent add</w:t>
      </w:r>
      <w:r w:rsidR="00F15CFF">
        <w:rPr>
          <w:rFonts w:ascii="Garamond" w:hAnsi="Garamond"/>
        </w:rPr>
        <w:t>ition</w:t>
      </w:r>
      <w:r w:rsidR="00762111">
        <w:rPr>
          <w:rFonts w:ascii="Garamond" w:hAnsi="Garamond"/>
        </w:rPr>
        <w:t xml:space="preserve"> to the </w:t>
      </w:r>
      <w:proofErr w:type="spellStart"/>
      <w:r w:rsidR="00762111">
        <w:rPr>
          <w:rFonts w:ascii="Garamond" w:hAnsi="Garamond"/>
        </w:rPr>
        <w:t>AMRFinderPlus</w:t>
      </w:r>
      <w:proofErr w:type="spellEnd"/>
      <w:r w:rsidR="00762111">
        <w:rPr>
          <w:rFonts w:ascii="Garamond" w:hAnsi="Garamond"/>
        </w:rPr>
        <w:t xml:space="preserve"> Reference Gene Catalog.</w:t>
      </w:r>
    </w:p>
    <w:p w14:paraId="042BB537" w14:textId="507E26D5" w:rsidR="000E1DFC" w:rsidRPr="009A61E9" w:rsidRDefault="000E1DFC">
      <w:pPr>
        <w:rPr>
          <w:rFonts w:ascii="Garamond" w:hAnsi="Garamond"/>
        </w:rPr>
      </w:pPr>
      <w:r w:rsidRPr="009A61E9">
        <w:rPr>
          <w:rFonts w:ascii="Garamond" w:hAnsi="Garamond"/>
        </w:rPr>
        <w:t>Meat Safety and Quality Research Unit/</w:t>
      </w:r>
      <w:proofErr w:type="spellStart"/>
      <w:r w:rsidRPr="009A61E9">
        <w:rPr>
          <w:rFonts w:ascii="Garamond" w:hAnsi="Garamond"/>
        </w:rPr>
        <w:t>Harhay</w:t>
      </w:r>
      <w:proofErr w:type="spellEnd"/>
      <w:r w:rsidRPr="009A61E9">
        <w:rPr>
          <w:rFonts w:ascii="Garamond" w:hAnsi="Garamond"/>
        </w:rPr>
        <w:t xml:space="preserve"> Lab. </w:t>
      </w:r>
    </w:p>
    <w:p w14:paraId="236CB4D1" w14:textId="77777777" w:rsidR="000E1DFC" w:rsidRPr="009A61E9" w:rsidRDefault="000E1DFC">
      <w:pPr>
        <w:rPr>
          <w:rFonts w:ascii="Garamond" w:hAnsi="Garamond"/>
        </w:rPr>
      </w:pPr>
    </w:p>
    <w:p w14:paraId="654B2A15" w14:textId="6261888C" w:rsidR="000E1DFC" w:rsidRPr="009A61E9" w:rsidRDefault="000E1DFC">
      <w:pPr>
        <w:rPr>
          <w:rFonts w:ascii="Garamond" w:hAnsi="Garamond"/>
        </w:rPr>
      </w:pPr>
      <w:r w:rsidRPr="009A61E9">
        <w:rPr>
          <w:rFonts w:ascii="Garamond" w:hAnsi="Garamond"/>
        </w:rPr>
        <w:t xml:space="preserve">Author(s) and Owner: Dayna M. </w:t>
      </w:r>
      <w:proofErr w:type="spellStart"/>
      <w:r w:rsidRPr="009A61E9">
        <w:rPr>
          <w:rFonts w:ascii="Garamond" w:hAnsi="Garamond"/>
        </w:rPr>
        <w:t>Harhay</w:t>
      </w:r>
      <w:proofErr w:type="spellEnd"/>
      <w:r w:rsidRPr="009A61E9">
        <w:rPr>
          <w:rFonts w:ascii="Garamond" w:hAnsi="Garamond"/>
        </w:rPr>
        <w:t>, Kerry D. Brader,</w:t>
      </w:r>
      <w:r w:rsidR="00FA0C88">
        <w:rPr>
          <w:rFonts w:ascii="Garamond" w:hAnsi="Garamond"/>
        </w:rPr>
        <w:t xml:space="preserve"> Tatum S. Katz,</w:t>
      </w:r>
      <w:r w:rsidRPr="009A61E9">
        <w:rPr>
          <w:rFonts w:ascii="Garamond" w:hAnsi="Garamond"/>
        </w:rPr>
        <w:t xml:space="preserve"> Jim Bono, Gregory P. </w:t>
      </w:r>
      <w:proofErr w:type="spellStart"/>
      <w:r w:rsidRPr="009A61E9">
        <w:rPr>
          <w:rFonts w:ascii="Garamond" w:hAnsi="Garamond"/>
        </w:rPr>
        <w:t>Harhay</w:t>
      </w:r>
      <w:proofErr w:type="spellEnd"/>
      <w:r w:rsidRPr="009A61E9">
        <w:rPr>
          <w:rFonts w:ascii="Garamond" w:hAnsi="Garamond"/>
        </w:rPr>
        <w:t xml:space="preserve">, Mick </w:t>
      </w:r>
      <w:proofErr w:type="spellStart"/>
      <w:r w:rsidRPr="009A61E9">
        <w:rPr>
          <w:rFonts w:ascii="Garamond" w:hAnsi="Garamond"/>
        </w:rPr>
        <w:t>Bosilevac</w:t>
      </w:r>
      <w:proofErr w:type="spellEnd"/>
    </w:p>
    <w:p w14:paraId="766C9820" w14:textId="77777777" w:rsidR="000E1DFC" w:rsidRPr="009A61E9" w:rsidRDefault="000E1DFC">
      <w:pPr>
        <w:rPr>
          <w:rFonts w:ascii="Garamond" w:hAnsi="Garamond"/>
        </w:rPr>
      </w:pPr>
    </w:p>
    <w:p w14:paraId="2260A349" w14:textId="6F08E874" w:rsidR="000E1DFC" w:rsidRPr="009A61E9" w:rsidRDefault="000E1DFC">
      <w:pPr>
        <w:rPr>
          <w:rFonts w:ascii="Garamond" w:hAnsi="Garamond"/>
        </w:rPr>
      </w:pPr>
      <w:r w:rsidRPr="009A61E9">
        <w:rPr>
          <w:rFonts w:ascii="Garamond" w:hAnsi="Garamond"/>
        </w:rPr>
        <w:t xml:space="preserve">Keywords: </w:t>
      </w:r>
      <w:r w:rsidR="000F2FE8" w:rsidRPr="009A61E9">
        <w:rPr>
          <w:rFonts w:ascii="Garamond" w:hAnsi="Garamond"/>
        </w:rPr>
        <w:t xml:space="preserve">Non-typhoidal </w:t>
      </w:r>
      <w:r w:rsidRPr="009A61E9">
        <w:rPr>
          <w:rFonts w:ascii="Garamond" w:hAnsi="Garamond"/>
          <w:i/>
          <w:iCs/>
        </w:rPr>
        <w:t>Salmonella</w:t>
      </w:r>
      <w:r w:rsidRPr="009A61E9">
        <w:rPr>
          <w:rFonts w:ascii="Garamond" w:hAnsi="Garamond"/>
        </w:rPr>
        <w:t xml:space="preserve"> enterica,</w:t>
      </w:r>
      <w:r w:rsidR="000F2FE8" w:rsidRPr="009A61E9">
        <w:rPr>
          <w:rFonts w:ascii="Garamond" w:hAnsi="Garamond"/>
        </w:rPr>
        <w:t xml:space="preserve"> NTSE,</w:t>
      </w:r>
      <w:r w:rsidRPr="009A61E9">
        <w:rPr>
          <w:rFonts w:ascii="Garamond" w:hAnsi="Garamond"/>
        </w:rPr>
        <w:t xml:space="preserve"> Highly Pathogenic </w:t>
      </w:r>
      <w:r w:rsidRPr="009A61E9">
        <w:rPr>
          <w:rFonts w:ascii="Garamond" w:hAnsi="Garamond"/>
          <w:i/>
          <w:iCs/>
        </w:rPr>
        <w:t>Salmonella</w:t>
      </w:r>
      <w:r w:rsidRPr="009A61E9">
        <w:rPr>
          <w:rFonts w:ascii="Garamond" w:hAnsi="Garamond"/>
        </w:rPr>
        <w:t xml:space="preserve">, HPS, </w:t>
      </w:r>
      <w:r w:rsidR="000F2FE8" w:rsidRPr="009A61E9">
        <w:rPr>
          <w:rFonts w:ascii="Garamond" w:hAnsi="Garamond"/>
        </w:rPr>
        <w:t xml:space="preserve">Polymerase Chain Reaction, </w:t>
      </w:r>
      <w:r w:rsidR="00D777CD" w:rsidRPr="009A61E9">
        <w:rPr>
          <w:rFonts w:ascii="Garamond" w:hAnsi="Garamond"/>
        </w:rPr>
        <w:t>PCR, m</w:t>
      </w:r>
      <w:r w:rsidRPr="009A61E9">
        <w:rPr>
          <w:rFonts w:ascii="Garamond" w:hAnsi="Garamond"/>
        </w:rPr>
        <w:t xml:space="preserve">ultiplex PCR assay, </w:t>
      </w:r>
      <w:r w:rsidR="000F2FE8" w:rsidRPr="009A61E9">
        <w:rPr>
          <w:rFonts w:ascii="Garamond" w:hAnsi="Garamond"/>
        </w:rPr>
        <w:t>v</w:t>
      </w:r>
      <w:r w:rsidRPr="009A61E9">
        <w:rPr>
          <w:rFonts w:ascii="Garamond" w:hAnsi="Garamond"/>
        </w:rPr>
        <w:t>irulence</w:t>
      </w:r>
      <w:r w:rsidR="000F2FE8" w:rsidRPr="009A61E9">
        <w:rPr>
          <w:rFonts w:ascii="Garamond" w:hAnsi="Garamond"/>
        </w:rPr>
        <w:t xml:space="preserve"> genes</w:t>
      </w:r>
      <w:r w:rsidRPr="009A61E9">
        <w:rPr>
          <w:rFonts w:ascii="Garamond" w:hAnsi="Garamond"/>
        </w:rPr>
        <w:t xml:space="preserve">, </w:t>
      </w:r>
      <w:r w:rsidR="00D777CD" w:rsidRPr="009A61E9">
        <w:rPr>
          <w:rFonts w:ascii="Garamond" w:hAnsi="Garamond"/>
        </w:rPr>
        <w:t>p</w:t>
      </w:r>
      <w:r w:rsidR="000F2FE8" w:rsidRPr="009A61E9">
        <w:rPr>
          <w:rFonts w:ascii="Garamond" w:hAnsi="Garamond"/>
        </w:rPr>
        <w:t>athogenicity, NP108, CRIS</w:t>
      </w:r>
      <w:r w:rsidR="00390152" w:rsidRPr="009A61E9">
        <w:rPr>
          <w:rFonts w:ascii="Garamond" w:hAnsi="Garamond"/>
        </w:rPr>
        <w:t xml:space="preserve"> </w:t>
      </w:r>
      <w:r w:rsidR="000F2FE8" w:rsidRPr="009A61E9">
        <w:rPr>
          <w:rFonts w:ascii="Garamond" w:hAnsi="Garamond"/>
        </w:rPr>
        <w:t xml:space="preserve">3040-42000-020-00D, Meat Safety and Quality Research Unit </w:t>
      </w:r>
    </w:p>
    <w:p w14:paraId="1B4EBBE2" w14:textId="77777777" w:rsidR="00390152" w:rsidRPr="009A61E9" w:rsidRDefault="00390152">
      <w:pPr>
        <w:rPr>
          <w:rFonts w:ascii="Garamond" w:hAnsi="Garamond"/>
        </w:rPr>
      </w:pPr>
    </w:p>
    <w:p w14:paraId="7A178393" w14:textId="312C7AE9" w:rsidR="00390152" w:rsidRPr="009A61E9" w:rsidRDefault="00390152">
      <w:pPr>
        <w:rPr>
          <w:rFonts w:ascii="Garamond" w:hAnsi="Garamond"/>
        </w:rPr>
      </w:pPr>
      <w:r w:rsidRPr="009A61E9">
        <w:rPr>
          <w:rFonts w:ascii="Garamond" w:hAnsi="Garamond"/>
        </w:rPr>
        <w:t xml:space="preserve">No Manuscript Citation to link </w:t>
      </w:r>
      <w:proofErr w:type="gramStart"/>
      <w:r w:rsidRPr="009A61E9">
        <w:rPr>
          <w:rFonts w:ascii="Garamond" w:hAnsi="Garamond"/>
        </w:rPr>
        <w:t>as yet</w:t>
      </w:r>
      <w:proofErr w:type="gramEnd"/>
      <w:r w:rsidRPr="009A61E9">
        <w:rPr>
          <w:rFonts w:ascii="Garamond" w:hAnsi="Garamond"/>
        </w:rPr>
        <w:t xml:space="preserve">. </w:t>
      </w:r>
    </w:p>
    <w:p w14:paraId="7D3F2BAD" w14:textId="77777777" w:rsidR="00390152" w:rsidRPr="009A61E9" w:rsidRDefault="00390152">
      <w:pPr>
        <w:rPr>
          <w:rFonts w:ascii="Garamond" w:hAnsi="Garamond"/>
        </w:rPr>
      </w:pPr>
    </w:p>
    <w:p w14:paraId="067ED38A" w14:textId="39A935DB" w:rsidR="00390152" w:rsidRPr="009A61E9" w:rsidRDefault="00390152">
      <w:pPr>
        <w:rPr>
          <w:rFonts w:ascii="Garamond" w:hAnsi="Garamond"/>
        </w:rPr>
      </w:pPr>
      <w:r w:rsidRPr="009A61E9">
        <w:rPr>
          <w:rFonts w:ascii="Garamond" w:hAnsi="Garamond"/>
        </w:rPr>
        <w:t xml:space="preserve">No External Links to provide </w:t>
      </w:r>
      <w:proofErr w:type="gramStart"/>
      <w:r w:rsidRPr="009A61E9">
        <w:rPr>
          <w:rFonts w:ascii="Garamond" w:hAnsi="Garamond"/>
        </w:rPr>
        <w:t>as yet</w:t>
      </w:r>
      <w:proofErr w:type="gramEnd"/>
      <w:r w:rsidRPr="009A61E9">
        <w:rPr>
          <w:rFonts w:ascii="Garamond" w:hAnsi="Garamond"/>
        </w:rPr>
        <w:t>.</w:t>
      </w:r>
    </w:p>
    <w:p w14:paraId="27922944" w14:textId="77777777" w:rsidR="000F2FE8" w:rsidRPr="009A61E9" w:rsidRDefault="000F2FE8">
      <w:pPr>
        <w:rPr>
          <w:rFonts w:ascii="Garamond" w:hAnsi="Garamond"/>
        </w:rPr>
      </w:pPr>
    </w:p>
    <w:p w14:paraId="6D208EE4" w14:textId="6DFA6E11" w:rsidR="000F2FE8" w:rsidRPr="009A61E9" w:rsidRDefault="000F2FE8">
      <w:pPr>
        <w:rPr>
          <w:rFonts w:ascii="Garamond" w:hAnsi="Garamond"/>
        </w:rPr>
      </w:pPr>
      <w:r w:rsidRPr="009A61E9">
        <w:rPr>
          <w:rFonts w:ascii="Garamond" w:hAnsi="Garamond"/>
        </w:rPr>
        <w:t>Funders Acknowledgement: CRIS 3040-42000-020-00D</w:t>
      </w:r>
    </w:p>
    <w:p w14:paraId="62F87CA7" w14:textId="77777777" w:rsidR="002F5F9B" w:rsidRPr="009A61E9" w:rsidRDefault="002F5F9B">
      <w:pPr>
        <w:rPr>
          <w:rFonts w:ascii="Garamond" w:hAnsi="Garamond"/>
        </w:rPr>
      </w:pPr>
    </w:p>
    <w:p w14:paraId="13BDB5BA" w14:textId="77777777" w:rsidR="002F5F9B" w:rsidRPr="009A61E9" w:rsidRDefault="002F5F9B">
      <w:pPr>
        <w:rPr>
          <w:rFonts w:ascii="Garamond" w:hAnsi="Garamond"/>
        </w:rPr>
      </w:pPr>
    </w:p>
    <w:p w14:paraId="455987BC" w14:textId="77777777" w:rsidR="002F5F9B" w:rsidRPr="009A61E9" w:rsidRDefault="002F5F9B">
      <w:pPr>
        <w:rPr>
          <w:rFonts w:ascii="Garamond" w:hAnsi="Garamond"/>
          <w:b/>
          <w:bCs/>
        </w:rPr>
      </w:pPr>
      <w:r w:rsidRPr="009A61E9">
        <w:rPr>
          <w:rFonts w:ascii="Garamond" w:hAnsi="Garamond"/>
          <w:b/>
          <w:bCs/>
        </w:rPr>
        <w:br w:type="page"/>
      </w:r>
    </w:p>
    <w:p w14:paraId="19C76FCD" w14:textId="4F27CFBE" w:rsidR="002F5F9B" w:rsidRPr="009A61E9" w:rsidRDefault="002F5F9B">
      <w:pPr>
        <w:rPr>
          <w:rFonts w:ascii="Garamond" w:hAnsi="Garamond"/>
          <w:b/>
          <w:bCs/>
        </w:rPr>
      </w:pPr>
      <w:r w:rsidRPr="009A61E9">
        <w:rPr>
          <w:rFonts w:ascii="Garamond" w:hAnsi="Garamond"/>
          <w:b/>
          <w:bCs/>
        </w:rPr>
        <w:lastRenderedPageBreak/>
        <w:t xml:space="preserve">Bacterial Lysis (BAX lysis) Procedure to prepare DNA </w:t>
      </w:r>
      <w:proofErr w:type="gramStart"/>
      <w:r w:rsidRPr="009A61E9">
        <w:rPr>
          <w:rFonts w:ascii="Garamond" w:hAnsi="Garamond"/>
          <w:b/>
          <w:bCs/>
        </w:rPr>
        <w:t>template</w:t>
      </w:r>
      <w:proofErr w:type="gramEnd"/>
    </w:p>
    <w:p w14:paraId="206CE765" w14:textId="77777777" w:rsidR="00412865" w:rsidRPr="009A61E9" w:rsidRDefault="00412865">
      <w:pPr>
        <w:rPr>
          <w:rFonts w:ascii="Garamond" w:hAnsi="Garamond"/>
        </w:rPr>
      </w:pPr>
    </w:p>
    <w:p w14:paraId="4E808D8D" w14:textId="77777777" w:rsidR="002F5F9B" w:rsidRPr="009A61E9" w:rsidRDefault="002F5F9B" w:rsidP="002F5F9B">
      <w:pPr>
        <w:rPr>
          <w:rFonts w:ascii="Garamond" w:hAnsi="Garamond"/>
        </w:rPr>
      </w:pPr>
      <w:r w:rsidRPr="009A61E9">
        <w:rPr>
          <w:rFonts w:ascii="Garamond" w:hAnsi="Garamond"/>
          <w:b/>
          <w:bCs/>
        </w:rPr>
        <w:t>Equipment</w:t>
      </w:r>
      <w:r w:rsidRPr="009A61E9">
        <w:rPr>
          <w:rFonts w:ascii="Garamond" w:hAnsi="Garamond"/>
        </w:rPr>
        <w:t>:</w:t>
      </w:r>
    </w:p>
    <w:p w14:paraId="7AB3BDAB" w14:textId="50BCF522" w:rsidR="00A84743" w:rsidRPr="009A61E9" w:rsidRDefault="00E50F2B" w:rsidP="002F5F9B">
      <w:pPr>
        <w:rPr>
          <w:rFonts w:ascii="Garamond" w:hAnsi="Garamond"/>
        </w:rPr>
      </w:pPr>
      <w:r w:rsidRPr="009A61E9">
        <w:rPr>
          <w:rFonts w:ascii="Garamond" w:hAnsi="Garamond"/>
        </w:rPr>
        <w:t xml:space="preserve">Thermal cycler </w:t>
      </w:r>
      <w:r w:rsidR="00E02EF9" w:rsidRPr="009A61E9">
        <w:rPr>
          <w:rFonts w:ascii="Garamond" w:hAnsi="Garamond"/>
        </w:rPr>
        <w:t>(BIO-RAD T100)</w:t>
      </w:r>
    </w:p>
    <w:p w14:paraId="0A173CCC" w14:textId="721476ED" w:rsidR="00E50F2B" w:rsidRPr="009A61E9" w:rsidRDefault="00645867" w:rsidP="002F5F9B">
      <w:pPr>
        <w:rPr>
          <w:rFonts w:ascii="Garamond" w:hAnsi="Garamond"/>
        </w:rPr>
      </w:pPr>
      <w:r w:rsidRPr="009A61E9">
        <w:rPr>
          <w:rFonts w:ascii="Garamond" w:hAnsi="Garamond"/>
        </w:rPr>
        <w:t>Lysis P</w:t>
      </w:r>
      <w:r w:rsidR="00E50F2B" w:rsidRPr="009A61E9">
        <w:rPr>
          <w:rFonts w:ascii="Garamond" w:hAnsi="Garamond"/>
        </w:rPr>
        <w:t>rogram</w:t>
      </w:r>
      <w:r w:rsidR="00A84743" w:rsidRPr="009A61E9">
        <w:rPr>
          <w:rFonts w:ascii="Garamond" w:hAnsi="Garamond"/>
        </w:rPr>
        <w:t xml:space="preserve"> (see </w:t>
      </w:r>
      <w:r w:rsidRPr="009A61E9">
        <w:rPr>
          <w:rFonts w:ascii="Garamond" w:hAnsi="Garamond"/>
        </w:rPr>
        <w:t>below</w:t>
      </w:r>
      <w:r w:rsidR="00A84743" w:rsidRPr="009A61E9">
        <w:rPr>
          <w:rFonts w:ascii="Garamond" w:hAnsi="Garamond"/>
        </w:rPr>
        <w:t>)</w:t>
      </w:r>
    </w:p>
    <w:p w14:paraId="34C332B7" w14:textId="49B2DB3C" w:rsidR="002F5F9B" w:rsidRPr="009A61E9" w:rsidRDefault="00645867" w:rsidP="002F5F9B">
      <w:pPr>
        <w:rPr>
          <w:rFonts w:ascii="Garamond" w:hAnsi="Garamond"/>
        </w:rPr>
      </w:pPr>
      <w:r w:rsidRPr="009A61E9">
        <w:rPr>
          <w:rFonts w:ascii="Garamond" w:hAnsi="Garamond"/>
        </w:rPr>
        <w:t xml:space="preserve">PCR plates &amp; </w:t>
      </w:r>
      <w:proofErr w:type="spellStart"/>
      <w:r w:rsidRPr="009A61E9">
        <w:rPr>
          <w:rFonts w:ascii="Garamond" w:hAnsi="Garamond"/>
        </w:rPr>
        <w:t>Microseal</w:t>
      </w:r>
      <w:proofErr w:type="spellEnd"/>
      <w:r w:rsidRPr="009A61E9">
        <w:rPr>
          <w:rFonts w:ascii="Garamond" w:hAnsi="Garamond"/>
        </w:rPr>
        <w:t xml:space="preserve"> B (BIO-RAD; #MSB-1001)</w:t>
      </w:r>
      <w:r w:rsidRPr="009A61E9">
        <w:rPr>
          <w:rFonts w:ascii="Garamond" w:hAnsi="Garamond"/>
        </w:rPr>
        <w:br/>
        <w:t xml:space="preserve">Multi-Channel Pipettors </w:t>
      </w:r>
    </w:p>
    <w:p w14:paraId="26B51D24" w14:textId="77777777" w:rsidR="00645867" w:rsidRPr="009A61E9" w:rsidRDefault="00645867" w:rsidP="002F5F9B">
      <w:pPr>
        <w:rPr>
          <w:rFonts w:ascii="Garamond" w:hAnsi="Garamond"/>
        </w:rPr>
      </w:pPr>
    </w:p>
    <w:p w14:paraId="3F7D5DD0" w14:textId="60EEEC97" w:rsidR="002F5F9B" w:rsidRPr="009A61E9" w:rsidRDefault="002F5F9B" w:rsidP="002F5F9B">
      <w:pPr>
        <w:rPr>
          <w:rFonts w:ascii="Garamond" w:hAnsi="Garamond"/>
        </w:rPr>
      </w:pPr>
      <w:r w:rsidRPr="009A61E9">
        <w:rPr>
          <w:rFonts w:ascii="Garamond" w:hAnsi="Garamond"/>
          <w:b/>
          <w:bCs/>
        </w:rPr>
        <w:t>Buffers and reagents</w:t>
      </w:r>
      <w:r w:rsidRPr="009A61E9">
        <w:rPr>
          <w:rFonts w:ascii="Garamond" w:hAnsi="Garamond"/>
        </w:rPr>
        <w:t>:</w:t>
      </w:r>
    </w:p>
    <w:p w14:paraId="4784CB67" w14:textId="5C7072BF" w:rsidR="002F5F9B" w:rsidRPr="009A61E9" w:rsidRDefault="00E02EF9" w:rsidP="002F5F9B">
      <w:pPr>
        <w:rPr>
          <w:rFonts w:ascii="Garamond" w:hAnsi="Garamond"/>
        </w:rPr>
      </w:pPr>
      <w:r w:rsidRPr="009A61E9">
        <w:rPr>
          <w:rFonts w:ascii="Garamond" w:hAnsi="Garamond"/>
        </w:rPr>
        <w:t>BAX Lysis Buffer (</w:t>
      </w:r>
      <w:proofErr w:type="spellStart"/>
      <w:r w:rsidRPr="009A61E9">
        <w:rPr>
          <w:rFonts w:ascii="Garamond" w:hAnsi="Garamond"/>
        </w:rPr>
        <w:t>Hygiena</w:t>
      </w:r>
      <w:proofErr w:type="spellEnd"/>
      <w:r w:rsidRPr="009A61E9">
        <w:rPr>
          <w:rFonts w:ascii="Garamond" w:hAnsi="Garamond"/>
        </w:rPr>
        <w:t>; item #ASY2011; ref. #D14403062)</w:t>
      </w:r>
    </w:p>
    <w:p w14:paraId="0165733B" w14:textId="6EB94F4A" w:rsidR="00E02EF9" w:rsidRPr="009A61E9" w:rsidRDefault="00E02EF9" w:rsidP="002F5F9B">
      <w:pPr>
        <w:rPr>
          <w:rFonts w:ascii="Garamond" w:hAnsi="Garamond"/>
        </w:rPr>
      </w:pPr>
      <w:r w:rsidRPr="009A61E9">
        <w:rPr>
          <w:rFonts w:ascii="Garamond" w:hAnsi="Garamond"/>
        </w:rPr>
        <w:t>BAX Protease Vial (</w:t>
      </w:r>
      <w:proofErr w:type="spellStart"/>
      <w:r w:rsidRPr="009A61E9">
        <w:rPr>
          <w:rFonts w:ascii="Garamond" w:hAnsi="Garamond"/>
        </w:rPr>
        <w:t>Hygiena</w:t>
      </w:r>
      <w:proofErr w:type="spellEnd"/>
      <w:r w:rsidRPr="009A61E9">
        <w:rPr>
          <w:rFonts w:ascii="Garamond" w:hAnsi="Garamond"/>
        </w:rPr>
        <w:t>; item #ASY2012; ref. #D11134081)</w:t>
      </w:r>
    </w:p>
    <w:p w14:paraId="776242D1" w14:textId="77777777" w:rsidR="009A61E9" w:rsidRPr="009A61E9" w:rsidRDefault="009A61E9" w:rsidP="009A61E9">
      <w:pPr>
        <w:rPr>
          <w:rFonts w:ascii="Garamond" w:hAnsi="Garamond"/>
        </w:rPr>
      </w:pPr>
      <w:r w:rsidRPr="009A61E9">
        <w:rPr>
          <w:rFonts w:ascii="Garamond" w:hAnsi="Garamond"/>
        </w:rPr>
        <w:t>Control strain (</w:t>
      </w:r>
      <w:r w:rsidRPr="009A61E9">
        <w:rPr>
          <w:rFonts w:ascii="Garamond" w:hAnsi="Garamond"/>
          <w:i/>
          <w:iCs/>
        </w:rPr>
        <w:t>S. Typhimurium</w:t>
      </w:r>
      <w:r w:rsidRPr="009A61E9">
        <w:rPr>
          <w:rFonts w:ascii="Garamond" w:hAnsi="Garamond"/>
        </w:rPr>
        <w:t xml:space="preserve"> ATCC - 14028)</w:t>
      </w:r>
    </w:p>
    <w:p w14:paraId="1D6967B4" w14:textId="10C4C8F7" w:rsidR="00E02EF9" w:rsidRPr="009A61E9" w:rsidRDefault="009A61E9" w:rsidP="002F5F9B">
      <w:pPr>
        <w:rPr>
          <w:rFonts w:ascii="Garamond" w:hAnsi="Garamond"/>
        </w:rPr>
      </w:pPr>
      <w:r w:rsidRPr="009A61E9">
        <w:rPr>
          <w:rFonts w:ascii="Garamond" w:hAnsi="Garamond"/>
        </w:rPr>
        <w:t>Overnight Culture of samples in question</w:t>
      </w:r>
    </w:p>
    <w:p w14:paraId="2DA65827" w14:textId="77777777" w:rsidR="00E50F2B" w:rsidRPr="009A61E9" w:rsidRDefault="00E50F2B" w:rsidP="002F5F9B">
      <w:pPr>
        <w:rPr>
          <w:rFonts w:ascii="Garamond" w:hAnsi="Garamond"/>
        </w:rPr>
      </w:pPr>
    </w:p>
    <w:p w14:paraId="4C7C1C43" w14:textId="77777777" w:rsidR="002F5F9B" w:rsidRPr="009A61E9" w:rsidRDefault="002F5F9B" w:rsidP="002F5F9B">
      <w:pPr>
        <w:rPr>
          <w:rFonts w:ascii="Garamond" w:hAnsi="Garamond"/>
        </w:rPr>
      </w:pPr>
      <w:r w:rsidRPr="009A61E9">
        <w:rPr>
          <w:rFonts w:ascii="Garamond" w:hAnsi="Garamond"/>
          <w:b/>
          <w:bCs/>
        </w:rPr>
        <w:t>Protocol</w:t>
      </w:r>
      <w:r w:rsidRPr="009A61E9">
        <w:rPr>
          <w:rFonts w:ascii="Garamond" w:hAnsi="Garamond"/>
        </w:rPr>
        <w:t>:</w:t>
      </w:r>
    </w:p>
    <w:p w14:paraId="14BDC022" w14:textId="5E857E9F" w:rsidR="002F5F9B" w:rsidRPr="009A61E9" w:rsidRDefault="002F5F9B">
      <w:pPr>
        <w:rPr>
          <w:rFonts w:ascii="Garamond" w:hAnsi="Garamond"/>
        </w:rPr>
      </w:pPr>
    </w:p>
    <w:p w14:paraId="33BED074" w14:textId="619FAFF4" w:rsidR="00E02EF9" w:rsidRPr="009A61E9" w:rsidRDefault="00590718">
      <w:pPr>
        <w:rPr>
          <w:rFonts w:ascii="Garamond" w:hAnsi="Garamond"/>
        </w:rPr>
      </w:pPr>
      <w:r>
        <w:rPr>
          <w:rFonts w:ascii="Garamond" w:hAnsi="Garamond"/>
        </w:rPr>
        <w:t xml:space="preserve">BAX </w:t>
      </w:r>
      <w:r w:rsidR="00E02EF9" w:rsidRPr="009A61E9">
        <w:rPr>
          <w:rFonts w:ascii="Garamond" w:hAnsi="Garamond"/>
        </w:rPr>
        <w:t xml:space="preserve">Lysis Buffer: </w:t>
      </w:r>
    </w:p>
    <w:p w14:paraId="02BAA43A" w14:textId="5BF58F21" w:rsidR="00E50F2B" w:rsidRDefault="00590718">
      <w:pPr>
        <w:rPr>
          <w:rFonts w:ascii="Garamond" w:hAnsi="Garamond"/>
        </w:rPr>
      </w:pPr>
      <w:r>
        <w:rPr>
          <w:rFonts w:ascii="Garamond" w:hAnsi="Garamond"/>
        </w:rPr>
        <w:t xml:space="preserve">Add </w:t>
      </w:r>
      <w:r w:rsidR="00E02EF9" w:rsidRPr="009A61E9">
        <w:rPr>
          <w:rFonts w:ascii="Garamond" w:hAnsi="Garamond"/>
        </w:rPr>
        <w:t xml:space="preserve">150 </w:t>
      </w:r>
      <w:r w:rsidR="00E02EF9" w:rsidRPr="009A61E9">
        <w:rPr>
          <w:rFonts w:ascii="Garamond" w:hAnsi="Garamond" w:cstheme="minorHAnsi"/>
        </w:rPr>
        <w:t>µ</w:t>
      </w:r>
      <w:r w:rsidR="00E02EF9" w:rsidRPr="009A61E9">
        <w:rPr>
          <w:rFonts w:ascii="Garamond" w:hAnsi="Garamond"/>
        </w:rPr>
        <w:t>L Protease solution into 12 mL Lysis Buffer</w:t>
      </w:r>
    </w:p>
    <w:p w14:paraId="48390DBE" w14:textId="29B604F1" w:rsidR="00590718" w:rsidRPr="009A61E9" w:rsidRDefault="3E83CAD1">
      <w:pPr>
        <w:rPr>
          <w:rFonts w:ascii="Garamond" w:hAnsi="Garamond"/>
        </w:rPr>
      </w:pPr>
      <w:r w:rsidRPr="65E2BF5B">
        <w:rPr>
          <w:rFonts w:ascii="Garamond" w:hAnsi="Garamond"/>
        </w:rPr>
        <w:t>Note: this solution is stable at 4C for t</w:t>
      </w:r>
      <w:r w:rsidR="71E4AF8F" w:rsidRPr="65E2BF5B">
        <w:rPr>
          <w:rFonts w:ascii="Garamond" w:hAnsi="Garamond"/>
        </w:rPr>
        <w:t xml:space="preserve">wo </w:t>
      </w:r>
      <w:r w:rsidRPr="65E2BF5B">
        <w:rPr>
          <w:rFonts w:ascii="Garamond" w:hAnsi="Garamond"/>
        </w:rPr>
        <w:t>weeks.</w:t>
      </w:r>
    </w:p>
    <w:p w14:paraId="5B725B36" w14:textId="4D2217AF" w:rsidR="00E02EF9" w:rsidRPr="009A61E9" w:rsidRDefault="00E02EF9">
      <w:pPr>
        <w:rPr>
          <w:rFonts w:ascii="Garamond" w:hAnsi="Garamond"/>
        </w:rPr>
      </w:pPr>
    </w:p>
    <w:p w14:paraId="6789EA1E" w14:textId="2452438A" w:rsidR="00E02EF9" w:rsidRPr="009A61E9" w:rsidRDefault="00645867">
      <w:pPr>
        <w:rPr>
          <w:rFonts w:ascii="Garamond" w:hAnsi="Garamond"/>
        </w:rPr>
      </w:pPr>
      <w:r w:rsidRPr="009A61E9">
        <w:rPr>
          <w:rFonts w:ascii="Garamond" w:hAnsi="Garamond"/>
        </w:rPr>
        <w:t>Reaction</w:t>
      </w:r>
      <w:r w:rsidR="00E02EF9" w:rsidRPr="009A61E9">
        <w:rPr>
          <w:rFonts w:ascii="Garamond" w:hAnsi="Garamond"/>
        </w:rPr>
        <w:t xml:space="preserve">: </w:t>
      </w:r>
    </w:p>
    <w:p w14:paraId="2FF37216" w14:textId="534B62BC" w:rsidR="00E02EF9" w:rsidRPr="009A61E9" w:rsidRDefault="00590718">
      <w:pPr>
        <w:rPr>
          <w:rFonts w:ascii="Garamond" w:hAnsi="Garamond"/>
        </w:rPr>
      </w:pPr>
      <w:r>
        <w:rPr>
          <w:rFonts w:ascii="Garamond" w:hAnsi="Garamond"/>
        </w:rPr>
        <w:t xml:space="preserve">Add </w:t>
      </w:r>
      <w:r w:rsidR="00E02EF9" w:rsidRPr="009A61E9">
        <w:rPr>
          <w:rFonts w:ascii="Garamond" w:hAnsi="Garamond"/>
        </w:rPr>
        <w:t xml:space="preserve">100 </w:t>
      </w:r>
      <w:r w:rsidR="00E02EF9" w:rsidRPr="009A61E9">
        <w:rPr>
          <w:rFonts w:ascii="Garamond" w:hAnsi="Garamond" w:cstheme="minorHAnsi"/>
        </w:rPr>
        <w:t>µ</w:t>
      </w:r>
      <w:r w:rsidR="00E02EF9" w:rsidRPr="009A61E9">
        <w:rPr>
          <w:rFonts w:ascii="Garamond" w:hAnsi="Garamond"/>
        </w:rPr>
        <w:t>L Protease/Lysis Buffer per well</w:t>
      </w:r>
      <w:r>
        <w:rPr>
          <w:rFonts w:ascii="Garamond" w:hAnsi="Garamond"/>
        </w:rPr>
        <w:t xml:space="preserve"> in the PCR </w:t>
      </w:r>
      <w:proofErr w:type="gramStart"/>
      <w:r>
        <w:rPr>
          <w:rFonts w:ascii="Garamond" w:hAnsi="Garamond"/>
        </w:rPr>
        <w:t>plate</w:t>
      </w:r>
      <w:proofErr w:type="gramEnd"/>
    </w:p>
    <w:p w14:paraId="6A5B7D4C" w14:textId="232F5A6D" w:rsidR="00E02EF9" w:rsidRPr="009A61E9" w:rsidRDefault="00590718">
      <w:pPr>
        <w:rPr>
          <w:rFonts w:ascii="Garamond" w:hAnsi="Garamond"/>
        </w:rPr>
      </w:pPr>
      <w:r>
        <w:rPr>
          <w:rFonts w:ascii="Garamond" w:hAnsi="Garamond"/>
        </w:rPr>
        <w:t xml:space="preserve">Add </w:t>
      </w:r>
      <w:r w:rsidR="00E02EF9" w:rsidRPr="009A61E9">
        <w:rPr>
          <w:rFonts w:ascii="Garamond" w:hAnsi="Garamond"/>
        </w:rPr>
        <w:t xml:space="preserve">2.5 </w:t>
      </w:r>
      <w:r w:rsidR="00E02EF9" w:rsidRPr="009A61E9">
        <w:rPr>
          <w:rFonts w:ascii="Garamond" w:hAnsi="Garamond" w:cstheme="minorHAnsi"/>
        </w:rPr>
        <w:t>µ</w:t>
      </w:r>
      <w:r w:rsidR="00E02EF9" w:rsidRPr="009A61E9">
        <w:rPr>
          <w:rFonts w:ascii="Garamond" w:hAnsi="Garamond"/>
        </w:rPr>
        <w:t xml:space="preserve">L </w:t>
      </w:r>
      <w:r w:rsidR="00645867" w:rsidRPr="009A61E9">
        <w:rPr>
          <w:rFonts w:ascii="Garamond" w:hAnsi="Garamond"/>
        </w:rPr>
        <w:t>S</w:t>
      </w:r>
      <w:r w:rsidR="00E02EF9" w:rsidRPr="009A61E9">
        <w:rPr>
          <w:rFonts w:ascii="Garamond" w:hAnsi="Garamond"/>
        </w:rPr>
        <w:t>ample</w:t>
      </w:r>
      <w:r w:rsidR="00460F99" w:rsidRPr="009A61E9">
        <w:rPr>
          <w:rFonts w:ascii="Garamond" w:hAnsi="Garamond"/>
        </w:rPr>
        <w:t xml:space="preserve"> (overnight culture)</w:t>
      </w:r>
      <w:r w:rsidR="00E02EF9" w:rsidRPr="009A61E9">
        <w:rPr>
          <w:rFonts w:ascii="Garamond" w:hAnsi="Garamond"/>
        </w:rPr>
        <w:t xml:space="preserve"> per </w:t>
      </w:r>
      <w:proofErr w:type="gramStart"/>
      <w:r w:rsidR="00E02EF9" w:rsidRPr="009A61E9">
        <w:rPr>
          <w:rFonts w:ascii="Garamond" w:hAnsi="Garamond"/>
        </w:rPr>
        <w:t>well</w:t>
      </w:r>
      <w:proofErr w:type="gramEnd"/>
    </w:p>
    <w:p w14:paraId="6985ECAE" w14:textId="51D5B09E" w:rsidR="00E02EF9" w:rsidRPr="009A61E9" w:rsidRDefault="00E02EF9">
      <w:pPr>
        <w:rPr>
          <w:rFonts w:ascii="Garamond" w:hAnsi="Garamond"/>
        </w:rPr>
      </w:pPr>
    </w:p>
    <w:p w14:paraId="0046B16E" w14:textId="0C12BCD9" w:rsidR="00590718" w:rsidRPr="009A61E9" w:rsidRDefault="00E02EF9">
      <w:pPr>
        <w:rPr>
          <w:rFonts w:ascii="Garamond" w:hAnsi="Garamond"/>
        </w:rPr>
      </w:pPr>
      <w:r w:rsidRPr="009A61E9">
        <w:rPr>
          <w:rFonts w:ascii="Garamond" w:hAnsi="Garamond"/>
        </w:rPr>
        <w:t>Lysis</w:t>
      </w:r>
      <w:r w:rsidR="00460F99" w:rsidRPr="009A61E9">
        <w:rPr>
          <w:rFonts w:ascii="Garamond" w:hAnsi="Garamond"/>
        </w:rPr>
        <w:t xml:space="preserve"> </w:t>
      </w:r>
      <w:r w:rsidRPr="009A61E9">
        <w:rPr>
          <w:rFonts w:ascii="Garamond" w:hAnsi="Garamond"/>
        </w:rPr>
        <w:t>Thermal Cycler Program:</w:t>
      </w:r>
    </w:p>
    <w:p w14:paraId="057EBD87" w14:textId="77777777" w:rsidR="00E02EF9" w:rsidRPr="009A61E9" w:rsidRDefault="00E02EF9">
      <w:pPr>
        <w:rPr>
          <w:rFonts w:ascii="Garamond" w:hAnsi="Garamond"/>
        </w:rPr>
      </w:pPr>
      <w:r w:rsidRPr="009A61E9">
        <w:rPr>
          <w:rFonts w:ascii="Garamond" w:hAnsi="Garamond"/>
        </w:rPr>
        <w:t>37 C – 20 min</w:t>
      </w:r>
    </w:p>
    <w:p w14:paraId="60BD45D8" w14:textId="77777777" w:rsidR="00E02EF9" w:rsidRPr="009A61E9" w:rsidRDefault="00E02EF9">
      <w:pPr>
        <w:rPr>
          <w:rFonts w:ascii="Garamond" w:hAnsi="Garamond"/>
        </w:rPr>
      </w:pPr>
      <w:r w:rsidRPr="009A61E9">
        <w:rPr>
          <w:rFonts w:ascii="Garamond" w:hAnsi="Garamond"/>
        </w:rPr>
        <w:t>95 C – 10 min</w:t>
      </w:r>
    </w:p>
    <w:p w14:paraId="6D76D0AB" w14:textId="77777777" w:rsidR="00E02EF9" w:rsidRDefault="00E02EF9">
      <w:pPr>
        <w:rPr>
          <w:rFonts w:ascii="Garamond" w:hAnsi="Garamond"/>
        </w:rPr>
      </w:pPr>
      <w:r w:rsidRPr="009A61E9">
        <w:rPr>
          <w:rFonts w:ascii="Garamond" w:hAnsi="Garamond"/>
        </w:rPr>
        <w:t>Cool 4 C – 5 min</w:t>
      </w:r>
    </w:p>
    <w:p w14:paraId="427A71D7" w14:textId="7AE1ADC2" w:rsidR="00590718" w:rsidRPr="009A61E9" w:rsidRDefault="00590718">
      <w:pPr>
        <w:rPr>
          <w:rFonts w:ascii="Garamond" w:hAnsi="Garamond"/>
        </w:rPr>
      </w:pPr>
      <w:r>
        <w:rPr>
          <w:rFonts w:ascii="Garamond" w:hAnsi="Garamond"/>
        </w:rPr>
        <w:t>Note: make sure lid of thermal cycler is set to 96C</w:t>
      </w:r>
    </w:p>
    <w:p w14:paraId="68999D68" w14:textId="77777777" w:rsidR="00831830" w:rsidRPr="009A61E9" w:rsidRDefault="00831830">
      <w:pPr>
        <w:rPr>
          <w:rFonts w:ascii="Garamond" w:hAnsi="Garamond"/>
        </w:rPr>
      </w:pPr>
    </w:p>
    <w:p w14:paraId="5FCF08AC" w14:textId="15CEF6FF" w:rsidR="00460F99" w:rsidRPr="009A61E9" w:rsidRDefault="00A61FAC">
      <w:pPr>
        <w:rPr>
          <w:rFonts w:ascii="Garamond" w:hAnsi="Garamond"/>
        </w:rPr>
      </w:pPr>
      <w:r>
        <w:rPr>
          <w:rFonts w:ascii="Garamond" w:hAnsi="Garamond"/>
        </w:rPr>
        <w:t>In a PCR plate, d</w:t>
      </w:r>
      <w:r w:rsidR="00460F99" w:rsidRPr="009A61E9">
        <w:rPr>
          <w:rFonts w:ascii="Garamond" w:hAnsi="Garamond"/>
        </w:rPr>
        <w:t xml:space="preserve">ispense 100 µL of buffer per well, add 2.5 µL of overnight culture, seal with </w:t>
      </w:r>
      <w:proofErr w:type="spellStart"/>
      <w:r w:rsidR="00460F99" w:rsidRPr="009A61E9">
        <w:rPr>
          <w:rFonts w:ascii="Garamond" w:hAnsi="Garamond"/>
        </w:rPr>
        <w:t>Microseal</w:t>
      </w:r>
      <w:proofErr w:type="spellEnd"/>
      <w:r w:rsidR="00460F99" w:rsidRPr="009A61E9">
        <w:rPr>
          <w:rFonts w:ascii="Garamond" w:hAnsi="Garamond"/>
        </w:rPr>
        <w:t xml:space="preserve"> B, and place in thermal cycler.  Run Lysis Protocol listed above (35 minutes). </w:t>
      </w:r>
    </w:p>
    <w:p w14:paraId="0B3E2434" w14:textId="77777777" w:rsidR="00460F99" w:rsidRPr="009A61E9" w:rsidRDefault="00460F99">
      <w:pPr>
        <w:rPr>
          <w:rFonts w:ascii="Garamond" w:hAnsi="Garamond"/>
        </w:rPr>
      </w:pPr>
    </w:p>
    <w:p w14:paraId="03ECCF42" w14:textId="7908B980" w:rsidR="00E02EF9" w:rsidRPr="009A61E9" w:rsidRDefault="00831830">
      <w:pPr>
        <w:rPr>
          <w:rFonts w:ascii="Garamond" w:hAnsi="Garamond"/>
          <w:b/>
          <w:bCs/>
        </w:rPr>
      </w:pPr>
      <w:r w:rsidRPr="009A61E9">
        <w:rPr>
          <w:rFonts w:ascii="Garamond" w:hAnsi="Garamond"/>
        </w:rPr>
        <w:t>Move on to PCR or freeze lysates</w:t>
      </w:r>
      <w:r w:rsidR="002F5F9B" w:rsidRPr="009A61E9">
        <w:rPr>
          <w:rFonts w:ascii="Garamond" w:hAnsi="Garamond"/>
          <w:b/>
          <w:bCs/>
        </w:rPr>
        <w:br w:type="page"/>
      </w:r>
    </w:p>
    <w:p w14:paraId="400E3FC6" w14:textId="71DB8A67" w:rsidR="002F5F9B" w:rsidRPr="009A61E9" w:rsidRDefault="002F5F9B">
      <w:pPr>
        <w:rPr>
          <w:rFonts w:ascii="Garamond" w:hAnsi="Garamond"/>
          <w:b/>
          <w:bCs/>
        </w:rPr>
      </w:pPr>
      <w:r w:rsidRPr="009A61E9">
        <w:rPr>
          <w:rFonts w:ascii="Garamond" w:hAnsi="Garamond"/>
          <w:b/>
          <w:bCs/>
        </w:rPr>
        <w:lastRenderedPageBreak/>
        <w:t>HPS Multiplex PCR Reaction</w:t>
      </w:r>
    </w:p>
    <w:p w14:paraId="6D1DA3AA" w14:textId="77777777" w:rsidR="00E50F2B" w:rsidRPr="009A61E9" w:rsidRDefault="00E50F2B">
      <w:pPr>
        <w:rPr>
          <w:rFonts w:ascii="Garamond" w:hAnsi="Garamond"/>
          <w:b/>
          <w:bCs/>
        </w:rPr>
      </w:pPr>
    </w:p>
    <w:p w14:paraId="04B1B0B4" w14:textId="489B3BF3" w:rsidR="002F5F9B" w:rsidRPr="009A61E9" w:rsidRDefault="00E50F2B" w:rsidP="002F5F9B">
      <w:pPr>
        <w:rPr>
          <w:rFonts w:ascii="Garamond" w:hAnsi="Garamond"/>
        </w:rPr>
      </w:pPr>
      <w:r w:rsidRPr="009A61E9">
        <w:rPr>
          <w:rFonts w:ascii="Garamond" w:hAnsi="Garamond"/>
        </w:rPr>
        <w:t>Primer list:</w:t>
      </w:r>
    </w:p>
    <w:p w14:paraId="1B16569D" w14:textId="3D770995" w:rsidR="00A84743" w:rsidRPr="009A61E9" w:rsidRDefault="00A84743" w:rsidP="002F5F9B">
      <w:pPr>
        <w:rPr>
          <w:rFonts w:ascii="Garamond" w:hAnsi="Garamond"/>
        </w:rPr>
      </w:pPr>
      <w:r w:rsidRPr="009A61E9">
        <w:rPr>
          <w:rFonts w:ascii="Garamond" w:hAnsi="Garamond"/>
        </w:rPr>
        <w:t>See Table 1.</w:t>
      </w:r>
    </w:p>
    <w:p w14:paraId="6BE44A10" w14:textId="5B1A9A96" w:rsidR="00E50F2B" w:rsidRPr="009A61E9" w:rsidRDefault="00E50F2B" w:rsidP="002F5F9B">
      <w:pPr>
        <w:rPr>
          <w:rFonts w:ascii="Garamond" w:hAnsi="Garamond"/>
        </w:rPr>
      </w:pPr>
    </w:p>
    <w:p w14:paraId="532B840F" w14:textId="77777777" w:rsidR="00E50F2B" w:rsidRPr="009A61E9" w:rsidRDefault="00E50F2B" w:rsidP="002F5F9B">
      <w:pPr>
        <w:rPr>
          <w:rFonts w:ascii="Garamond" w:hAnsi="Garamond"/>
        </w:rPr>
      </w:pPr>
    </w:p>
    <w:p w14:paraId="0C954B2D" w14:textId="4E226E33" w:rsidR="002F5F9B" w:rsidRPr="009A61E9" w:rsidRDefault="00E50F2B" w:rsidP="002F5F9B">
      <w:pPr>
        <w:rPr>
          <w:rFonts w:ascii="Garamond" w:hAnsi="Garamond"/>
        </w:rPr>
      </w:pPr>
      <w:r w:rsidRPr="009A61E9">
        <w:rPr>
          <w:rFonts w:ascii="Garamond" w:hAnsi="Garamond"/>
        </w:rPr>
        <w:t>Master Mix:</w:t>
      </w:r>
    </w:p>
    <w:p w14:paraId="08979EBB" w14:textId="1FC9F44B" w:rsidR="00A84743" w:rsidRPr="009A61E9" w:rsidRDefault="00A84743" w:rsidP="002F5F9B">
      <w:pPr>
        <w:rPr>
          <w:rFonts w:ascii="Garamond" w:hAnsi="Garamond"/>
        </w:rPr>
      </w:pPr>
      <w:r w:rsidRPr="009A61E9">
        <w:rPr>
          <w:rFonts w:ascii="Garamond" w:hAnsi="Garamond"/>
        </w:rPr>
        <w:t>See Table 2.</w:t>
      </w:r>
    </w:p>
    <w:p w14:paraId="704D3941" w14:textId="0C300778" w:rsidR="00E50F2B" w:rsidRPr="009A61E9" w:rsidRDefault="00E50F2B" w:rsidP="002F5F9B">
      <w:pPr>
        <w:rPr>
          <w:rFonts w:ascii="Garamond" w:hAnsi="Garamond"/>
        </w:rPr>
      </w:pPr>
    </w:p>
    <w:p w14:paraId="71D5EF95" w14:textId="77777777" w:rsidR="002F5F9B" w:rsidRPr="009A61E9" w:rsidRDefault="002F5F9B" w:rsidP="002F5F9B">
      <w:pPr>
        <w:rPr>
          <w:rFonts w:ascii="Garamond" w:hAnsi="Garamond"/>
        </w:rPr>
      </w:pPr>
    </w:p>
    <w:p w14:paraId="2348752A" w14:textId="45919D1E" w:rsidR="00E50F2B" w:rsidRPr="009A61E9" w:rsidRDefault="00E50F2B" w:rsidP="00E50F2B">
      <w:pPr>
        <w:rPr>
          <w:rFonts w:ascii="Garamond" w:hAnsi="Garamond"/>
        </w:rPr>
      </w:pPr>
      <w:r w:rsidRPr="009A61E9">
        <w:rPr>
          <w:rFonts w:ascii="Garamond" w:hAnsi="Garamond"/>
          <w:b/>
          <w:bCs/>
        </w:rPr>
        <w:t>Equipment</w:t>
      </w:r>
      <w:r w:rsidRPr="009A61E9">
        <w:rPr>
          <w:rFonts w:ascii="Garamond" w:hAnsi="Garamond"/>
        </w:rPr>
        <w:t>:</w:t>
      </w:r>
    </w:p>
    <w:p w14:paraId="2D074D4A" w14:textId="77777777" w:rsidR="00645867" w:rsidRPr="009A61E9" w:rsidRDefault="00645867" w:rsidP="00645867">
      <w:pPr>
        <w:rPr>
          <w:rFonts w:ascii="Garamond" w:hAnsi="Garamond"/>
        </w:rPr>
      </w:pPr>
      <w:r w:rsidRPr="009A61E9">
        <w:rPr>
          <w:rFonts w:ascii="Garamond" w:hAnsi="Garamond"/>
        </w:rPr>
        <w:t>Thermal cycler (BIO-RAD T100)</w:t>
      </w:r>
    </w:p>
    <w:p w14:paraId="0C2CD68B" w14:textId="622687B1" w:rsidR="00645867" w:rsidRPr="009A61E9" w:rsidRDefault="00645867" w:rsidP="00645867">
      <w:pPr>
        <w:rPr>
          <w:rFonts w:ascii="Garamond" w:hAnsi="Garamond"/>
        </w:rPr>
      </w:pPr>
      <w:r w:rsidRPr="009A61E9">
        <w:rPr>
          <w:rFonts w:ascii="Garamond" w:hAnsi="Garamond"/>
        </w:rPr>
        <w:t>Program (see Table 3)</w:t>
      </w:r>
    </w:p>
    <w:p w14:paraId="2F2F50FD" w14:textId="77777777" w:rsidR="00645867" w:rsidRPr="009A61E9" w:rsidRDefault="00645867" w:rsidP="00645867">
      <w:pPr>
        <w:rPr>
          <w:rFonts w:ascii="Garamond" w:hAnsi="Garamond"/>
        </w:rPr>
      </w:pPr>
      <w:r w:rsidRPr="009A61E9">
        <w:rPr>
          <w:rFonts w:ascii="Garamond" w:hAnsi="Garamond"/>
        </w:rPr>
        <w:t xml:space="preserve">PCR plates &amp; </w:t>
      </w:r>
      <w:proofErr w:type="spellStart"/>
      <w:r w:rsidRPr="009A61E9">
        <w:rPr>
          <w:rFonts w:ascii="Garamond" w:hAnsi="Garamond"/>
        </w:rPr>
        <w:t>Microseal</w:t>
      </w:r>
      <w:proofErr w:type="spellEnd"/>
      <w:r w:rsidRPr="009A61E9">
        <w:rPr>
          <w:rFonts w:ascii="Garamond" w:hAnsi="Garamond"/>
        </w:rPr>
        <w:t xml:space="preserve"> B (BIO-RAD; #MSB-1001)</w:t>
      </w:r>
    </w:p>
    <w:p w14:paraId="4C9A2DCC" w14:textId="78908CFF" w:rsidR="00645867" w:rsidRDefault="00645867" w:rsidP="00E50F2B">
      <w:pPr>
        <w:rPr>
          <w:rFonts w:ascii="Garamond" w:hAnsi="Garamond"/>
        </w:rPr>
      </w:pPr>
      <w:r w:rsidRPr="009A61E9">
        <w:rPr>
          <w:rFonts w:ascii="Garamond" w:hAnsi="Garamond"/>
        </w:rPr>
        <w:t>Multi-Channel Pipettors</w:t>
      </w:r>
      <w:r w:rsidR="00590718">
        <w:rPr>
          <w:rFonts w:ascii="Garamond" w:hAnsi="Garamond"/>
        </w:rPr>
        <w:t xml:space="preserve"> (10ul and 20ul 12 channel preferrable)</w:t>
      </w:r>
    </w:p>
    <w:p w14:paraId="0B49AA29" w14:textId="77777777" w:rsidR="00590718" w:rsidRPr="009A61E9" w:rsidRDefault="00590718" w:rsidP="00E50F2B">
      <w:pPr>
        <w:rPr>
          <w:rFonts w:ascii="Garamond" w:hAnsi="Garamond"/>
        </w:rPr>
      </w:pPr>
    </w:p>
    <w:p w14:paraId="7A586AD4" w14:textId="77777777" w:rsidR="00645867" w:rsidRPr="009A61E9" w:rsidRDefault="00645867" w:rsidP="00E50F2B">
      <w:pPr>
        <w:rPr>
          <w:rFonts w:ascii="Garamond" w:hAnsi="Garamond"/>
        </w:rPr>
      </w:pPr>
    </w:p>
    <w:p w14:paraId="02A657AF" w14:textId="77777777" w:rsidR="00645867" w:rsidRPr="009A61E9" w:rsidRDefault="00645867" w:rsidP="002F5F9B">
      <w:pPr>
        <w:rPr>
          <w:rFonts w:ascii="Garamond" w:hAnsi="Garamond"/>
        </w:rPr>
      </w:pPr>
    </w:p>
    <w:p w14:paraId="37552B61" w14:textId="3FE6529A" w:rsidR="002F5F9B" w:rsidRPr="009A61E9" w:rsidRDefault="002F5F9B" w:rsidP="002F5F9B">
      <w:pPr>
        <w:rPr>
          <w:rFonts w:ascii="Garamond" w:hAnsi="Garamond"/>
        </w:rPr>
      </w:pPr>
      <w:r w:rsidRPr="009A61E9">
        <w:rPr>
          <w:rFonts w:ascii="Garamond" w:hAnsi="Garamond"/>
          <w:b/>
          <w:bCs/>
        </w:rPr>
        <w:t>Buffers and reagents</w:t>
      </w:r>
      <w:r w:rsidRPr="009A61E9">
        <w:rPr>
          <w:rFonts w:ascii="Garamond" w:hAnsi="Garamond"/>
        </w:rPr>
        <w:t>:</w:t>
      </w:r>
    </w:p>
    <w:p w14:paraId="0B362C66" w14:textId="2CAE3905" w:rsidR="00645867" w:rsidRPr="009A61E9" w:rsidRDefault="00645867" w:rsidP="002F5F9B">
      <w:pPr>
        <w:rPr>
          <w:rFonts w:ascii="Garamond" w:hAnsi="Garamond"/>
        </w:rPr>
      </w:pPr>
      <w:r w:rsidRPr="009A61E9">
        <w:rPr>
          <w:rFonts w:ascii="Garamond" w:hAnsi="Garamond"/>
        </w:rPr>
        <w:t xml:space="preserve">Bullseye </w:t>
      </w:r>
      <w:r w:rsidR="00A61FAC">
        <w:rPr>
          <w:rFonts w:ascii="Garamond" w:hAnsi="Garamond"/>
        </w:rPr>
        <w:t>HS Taq Pol</w:t>
      </w:r>
      <w:r w:rsidRPr="009A61E9">
        <w:rPr>
          <w:rFonts w:ascii="Garamond" w:hAnsi="Garamond"/>
        </w:rPr>
        <w:t xml:space="preserve"> (</w:t>
      </w:r>
      <w:proofErr w:type="spellStart"/>
      <w:r w:rsidRPr="009A61E9">
        <w:rPr>
          <w:rFonts w:ascii="Garamond" w:hAnsi="Garamond"/>
        </w:rPr>
        <w:t>MidSci</w:t>
      </w:r>
      <w:proofErr w:type="spellEnd"/>
      <w:r w:rsidRPr="009A61E9">
        <w:rPr>
          <w:rFonts w:ascii="Garamond" w:hAnsi="Garamond"/>
        </w:rPr>
        <w:t>; BE225108)</w:t>
      </w:r>
    </w:p>
    <w:p w14:paraId="596DF2A4" w14:textId="6B052106" w:rsidR="002F5F9B" w:rsidRPr="009A61E9" w:rsidRDefault="00645867" w:rsidP="002F5F9B">
      <w:pPr>
        <w:rPr>
          <w:rFonts w:ascii="Garamond" w:hAnsi="Garamond"/>
        </w:rPr>
      </w:pPr>
      <w:r w:rsidRPr="009A61E9">
        <w:rPr>
          <w:rFonts w:ascii="Garamond" w:hAnsi="Garamond"/>
        </w:rPr>
        <w:t>Deoxynucleotide (dNTP) Solution Mix (New England Biolabs; N0447L)</w:t>
      </w:r>
    </w:p>
    <w:p w14:paraId="04314DFD" w14:textId="77777777" w:rsidR="00412865" w:rsidRPr="009A61E9" w:rsidRDefault="00412865" w:rsidP="002F5F9B">
      <w:pPr>
        <w:rPr>
          <w:rFonts w:ascii="Garamond" w:hAnsi="Garamond"/>
        </w:rPr>
      </w:pPr>
    </w:p>
    <w:p w14:paraId="6A026594" w14:textId="77777777" w:rsidR="002F5F9B" w:rsidRPr="009A61E9" w:rsidRDefault="002F5F9B" w:rsidP="002F5F9B">
      <w:pPr>
        <w:rPr>
          <w:rFonts w:ascii="Garamond" w:hAnsi="Garamond"/>
        </w:rPr>
      </w:pPr>
      <w:r w:rsidRPr="009A61E9">
        <w:rPr>
          <w:rFonts w:ascii="Garamond" w:hAnsi="Garamond"/>
          <w:b/>
          <w:bCs/>
        </w:rPr>
        <w:t>Protocol</w:t>
      </w:r>
      <w:r w:rsidRPr="009A61E9">
        <w:rPr>
          <w:rFonts w:ascii="Garamond" w:hAnsi="Garamond"/>
        </w:rPr>
        <w:t>:</w:t>
      </w:r>
    </w:p>
    <w:p w14:paraId="4B289E7B" w14:textId="1607E1A4" w:rsidR="00412865" w:rsidRPr="009A61E9" w:rsidRDefault="00412865" w:rsidP="002F5F9B">
      <w:pPr>
        <w:rPr>
          <w:rFonts w:ascii="Garamond" w:hAnsi="Garamond"/>
        </w:rPr>
      </w:pPr>
    </w:p>
    <w:p w14:paraId="47680627" w14:textId="144DF1A1" w:rsidR="00645867" w:rsidRPr="009A61E9" w:rsidRDefault="00645867" w:rsidP="002F5F9B">
      <w:pPr>
        <w:rPr>
          <w:rFonts w:ascii="Garamond" w:hAnsi="Garamond"/>
        </w:rPr>
      </w:pPr>
      <w:r w:rsidRPr="009A61E9">
        <w:rPr>
          <w:rFonts w:ascii="Garamond" w:hAnsi="Garamond"/>
        </w:rPr>
        <w:t xml:space="preserve">Make up </w:t>
      </w:r>
      <w:r w:rsidR="00A61FAC">
        <w:rPr>
          <w:rFonts w:ascii="Garamond" w:hAnsi="Garamond"/>
        </w:rPr>
        <w:t xml:space="preserve">HPS </w:t>
      </w:r>
      <w:r w:rsidRPr="009A61E9">
        <w:rPr>
          <w:rFonts w:ascii="Garamond" w:hAnsi="Garamond"/>
        </w:rPr>
        <w:t xml:space="preserve">master mix </w:t>
      </w:r>
      <w:r w:rsidR="00A61FAC">
        <w:rPr>
          <w:rFonts w:ascii="Garamond" w:hAnsi="Garamond"/>
        </w:rPr>
        <w:t>(see Table 2).  S</w:t>
      </w:r>
      <w:r w:rsidRPr="009A61E9">
        <w:rPr>
          <w:rFonts w:ascii="Garamond" w:hAnsi="Garamond"/>
        </w:rPr>
        <w:t xml:space="preserve">tore at -20 </w:t>
      </w:r>
      <w:r w:rsidR="00312FF7" w:rsidRPr="009A61E9">
        <w:rPr>
          <w:rFonts w:ascii="Garamond" w:hAnsi="Garamond" w:cstheme="minorHAnsi"/>
        </w:rPr>
        <w:t>°</w:t>
      </w:r>
      <w:r w:rsidR="00312FF7" w:rsidRPr="009A61E9">
        <w:rPr>
          <w:rFonts w:ascii="Garamond" w:hAnsi="Garamond"/>
        </w:rPr>
        <w:t>C.</w:t>
      </w:r>
    </w:p>
    <w:p w14:paraId="782AE590" w14:textId="20B5BC9A" w:rsidR="00312FF7" w:rsidRPr="009A61E9" w:rsidRDefault="00312FF7" w:rsidP="002F5F9B">
      <w:pPr>
        <w:rPr>
          <w:rFonts w:ascii="Garamond" w:hAnsi="Garamond"/>
        </w:rPr>
      </w:pPr>
    </w:p>
    <w:p w14:paraId="406974E6" w14:textId="2710B66D" w:rsidR="00312FF7" w:rsidRPr="009A61E9" w:rsidRDefault="00312FF7" w:rsidP="002F5F9B">
      <w:pPr>
        <w:rPr>
          <w:rFonts w:ascii="Garamond" w:hAnsi="Garamond"/>
        </w:rPr>
      </w:pPr>
      <w:r w:rsidRPr="009A61E9">
        <w:rPr>
          <w:rFonts w:ascii="Garamond" w:hAnsi="Garamond"/>
        </w:rPr>
        <w:t xml:space="preserve">Thaw master mix, vortex, aliquot 20 </w:t>
      </w:r>
      <w:r w:rsidRPr="009A61E9">
        <w:rPr>
          <w:rFonts w:ascii="Garamond" w:hAnsi="Garamond" w:cstheme="minorHAnsi"/>
        </w:rPr>
        <w:t>µ</w:t>
      </w:r>
      <w:r w:rsidRPr="009A61E9">
        <w:rPr>
          <w:rFonts w:ascii="Garamond" w:hAnsi="Garamond"/>
        </w:rPr>
        <w:t>L per well</w:t>
      </w:r>
      <w:r w:rsidR="00A61FAC">
        <w:rPr>
          <w:rFonts w:ascii="Garamond" w:hAnsi="Garamond"/>
        </w:rPr>
        <w:t xml:space="preserve"> in PCR plate</w:t>
      </w:r>
      <w:r w:rsidRPr="009A61E9">
        <w:rPr>
          <w:rFonts w:ascii="Garamond" w:hAnsi="Garamond"/>
        </w:rPr>
        <w:t>.</w:t>
      </w:r>
    </w:p>
    <w:p w14:paraId="4569664A" w14:textId="457B4170" w:rsidR="00312FF7" w:rsidRPr="009A61E9" w:rsidRDefault="00A61FAC" w:rsidP="002F5F9B">
      <w:pPr>
        <w:rPr>
          <w:rFonts w:ascii="Garamond" w:hAnsi="Garamond"/>
        </w:rPr>
      </w:pPr>
      <w:r>
        <w:rPr>
          <w:rFonts w:ascii="Garamond" w:hAnsi="Garamond"/>
        </w:rPr>
        <w:t>Add</w:t>
      </w:r>
      <w:r w:rsidR="00312FF7" w:rsidRPr="009A61E9">
        <w:rPr>
          <w:rFonts w:ascii="Garamond" w:hAnsi="Garamond"/>
        </w:rPr>
        <w:t xml:space="preserve"> 5 µL of lysate (if frozen, thaw and gently pipette to resuspend) per well.</w:t>
      </w:r>
      <w:r w:rsidR="009A61E9" w:rsidRPr="009A61E9">
        <w:rPr>
          <w:rFonts w:ascii="Garamond" w:hAnsi="Garamond"/>
        </w:rPr>
        <w:t xml:space="preserve">  Final</w:t>
      </w:r>
      <w:r>
        <w:rPr>
          <w:rFonts w:ascii="Garamond" w:hAnsi="Garamond"/>
        </w:rPr>
        <w:t xml:space="preserve"> reaction</w:t>
      </w:r>
      <w:r w:rsidR="009A61E9" w:rsidRPr="009A61E9">
        <w:rPr>
          <w:rFonts w:ascii="Garamond" w:hAnsi="Garamond"/>
        </w:rPr>
        <w:t xml:space="preserve"> volume is 25 µL.</w:t>
      </w:r>
    </w:p>
    <w:p w14:paraId="12AC0FEF" w14:textId="102E6403" w:rsidR="00460F99" w:rsidRPr="009A61E9" w:rsidRDefault="00460F99" w:rsidP="002F5F9B">
      <w:pPr>
        <w:rPr>
          <w:rFonts w:ascii="Garamond" w:hAnsi="Garamond"/>
        </w:rPr>
      </w:pPr>
      <w:r w:rsidRPr="009A61E9">
        <w:rPr>
          <w:rFonts w:ascii="Garamond" w:hAnsi="Garamond"/>
        </w:rPr>
        <w:t xml:space="preserve">Seal plate with </w:t>
      </w:r>
      <w:proofErr w:type="spellStart"/>
      <w:r w:rsidRPr="009A61E9">
        <w:rPr>
          <w:rFonts w:ascii="Garamond" w:hAnsi="Garamond"/>
        </w:rPr>
        <w:t>Microseal</w:t>
      </w:r>
      <w:proofErr w:type="spellEnd"/>
      <w:r w:rsidRPr="009A61E9">
        <w:rPr>
          <w:rFonts w:ascii="Garamond" w:hAnsi="Garamond"/>
        </w:rPr>
        <w:t xml:space="preserve"> B and place in thermocycler.</w:t>
      </w:r>
    </w:p>
    <w:p w14:paraId="5EBF8A13" w14:textId="534D9CE8" w:rsidR="00460F99" w:rsidRPr="009A61E9" w:rsidRDefault="00460F99" w:rsidP="002F5F9B">
      <w:pPr>
        <w:rPr>
          <w:rFonts w:ascii="Garamond" w:hAnsi="Garamond"/>
        </w:rPr>
      </w:pPr>
      <w:r w:rsidRPr="009A61E9">
        <w:rPr>
          <w:rFonts w:ascii="Garamond" w:hAnsi="Garamond"/>
        </w:rPr>
        <w:t>Run program (Table 3).</w:t>
      </w:r>
    </w:p>
    <w:p w14:paraId="7E80FC46" w14:textId="0292C653" w:rsidR="00412865" w:rsidRPr="009A61E9" w:rsidRDefault="00412865" w:rsidP="002F5F9B">
      <w:pPr>
        <w:rPr>
          <w:rFonts w:ascii="Garamond" w:hAnsi="Garamond"/>
        </w:rPr>
      </w:pPr>
    </w:p>
    <w:p w14:paraId="527CD6AF" w14:textId="4315EDC5" w:rsidR="00412865" w:rsidRPr="009A61E9" w:rsidRDefault="00460F99" w:rsidP="002F5F9B">
      <w:pPr>
        <w:rPr>
          <w:rFonts w:ascii="Garamond" w:hAnsi="Garamond"/>
        </w:rPr>
      </w:pPr>
      <w:r w:rsidRPr="009A61E9">
        <w:rPr>
          <w:rFonts w:ascii="Garamond" w:hAnsi="Garamond"/>
        </w:rPr>
        <w:t>Once complete, begin gel or store PCR products at -20 °</w:t>
      </w:r>
      <w:r w:rsidR="00A61FAC">
        <w:rPr>
          <w:rFonts w:ascii="Garamond" w:hAnsi="Garamond"/>
        </w:rPr>
        <w:t>C</w:t>
      </w:r>
      <w:r w:rsidRPr="009A61E9">
        <w:rPr>
          <w:rFonts w:ascii="Garamond" w:hAnsi="Garamond"/>
        </w:rPr>
        <w:t>.</w:t>
      </w:r>
    </w:p>
    <w:p w14:paraId="32194E58" w14:textId="4345EA69" w:rsidR="00460F99" w:rsidRDefault="00460F99" w:rsidP="002F5F9B">
      <w:pPr>
        <w:rPr>
          <w:rFonts w:ascii="Garamond" w:hAnsi="Garamond"/>
        </w:rPr>
      </w:pPr>
    </w:p>
    <w:p w14:paraId="6C3E9030" w14:textId="432682E1" w:rsidR="008E580D" w:rsidRPr="008E580D" w:rsidRDefault="008E580D" w:rsidP="002F5F9B">
      <w:pPr>
        <w:rPr>
          <w:rFonts w:ascii="Garamond" w:hAnsi="Garamond"/>
          <w:u w:val="single"/>
        </w:rPr>
      </w:pPr>
    </w:p>
    <w:p w14:paraId="3407996C" w14:textId="4D07C9AE" w:rsidR="00412865" w:rsidRPr="009A61E9" w:rsidRDefault="00412865" w:rsidP="002F5F9B">
      <w:pPr>
        <w:rPr>
          <w:rFonts w:ascii="Garamond" w:hAnsi="Garamond"/>
        </w:rPr>
      </w:pPr>
    </w:p>
    <w:p w14:paraId="51BD1DFA" w14:textId="77777777" w:rsidR="002F5F9B" w:rsidRPr="009A61E9" w:rsidRDefault="002F5F9B">
      <w:pPr>
        <w:rPr>
          <w:rFonts w:ascii="Garamond" w:hAnsi="Garamond"/>
        </w:rPr>
      </w:pPr>
    </w:p>
    <w:p w14:paraId="1110DE2B" w14:textId="3D271A8F" w:rsidR="002F5F9B" w:rsidRPr="009A61E9" w:rsidRDefault="002F5F9B">
      <w:pPr>
        <w:rPr>
          <w:rFonts w:ascii="Garamond" w:hAnsi="Garamond"/>
          <w:b/>
          <w:bCs/>
        </w:rPr>
      </w:pPr>
      <w:r w:rsidRPr="009A61E9">
        <w:rPr>
          <w:rFonts w:ascii="Garamond" w:hAnsi="Garamond"/>
          <w:b/>
          <w:bCs/>
        </w:rPr>
        <w:br w:type="page"/>
      </w:r>
      <w:r w:rsidR="001B0D42">
        <w:rPr>
          <w:rFonts w:ascii="Garamond" w:hAnsi="Garamond"/>
          <w:b/>
          <w:bCs/>
        </w:rPr>
        <w:lastRenderedPageBreak/>
        <w:t xml:space="preserve">  </w:t>
      </w:r>
    </w:p>
    <w:p w14:paraId="40E10DEB" w14:textId="1C4CD44A" w:rsidR="002F5F9B" w:rsidRPr="009A61E9" w:rsidRDefault="002F5F9B">
      <w:pPr>
        <w:rPr>
          <w:rFonts w:ascii="Garamond" w:hAnsi="Garamond"/>
          <w:b/>
          <w:bCs/>
        </w:rPr>
      </w:pPr>
      <w:r w:rsidRPr="009A61E9">
        <w:rPr>
          <w:rFonts w:ascii="Garamond" w:hAnsi="Garamond"/>
          <w:b/>
          <w:bCs/>
        </w:rPr>
        <w:t xml:space="preserve">Agarose gel electrophoresis and staining, to visualize </w:t>
      </w:r>
      <w:r w:rsidR="00D777CD" w:rsidRPr="009A61E9">
        <w:rPr>
          <w:rFonts w:ascii="Garamond" w:hAnsi="Garamond"/>
          <w:b/>
          <w:bCs/>
        </w:rPr>
        <w:t xml:space="preserve">DNA </w:t>
      </w:r>
      <w:proofErr w:type="gramStart"/>
      <w:r w:rsidRPr="009A61E9">
        <w:rPr>
          <w:rFonts w:ascii="Garamond" w:hAnsi="Garamond"/>
          <w:b/>
          <w:bCs/>
        </w:rPr>
        <w:t>ampli</w:t>
      </w:r>
      <w:r w:rsidR="00D777CD" w:rsidRPr="009A61E9">
        <w:rPr>
          <w:rFonts w:ascii="Garamond" w:hAnsi="Garamond"/>
          <w:b/>
          <w:bCs/>
        </w:rPr>
        <w:t>cons</w:t>
      </w:r>
      <w:proofErr w:type="gramEnd"/>
    </w:p>
    <w:p w14:paraId="29663771" w14:textId="77777777" w:rsidR="00A84743" w:rsidRPr="009A61E9" w:rsidRDefault="00A84743">
      <w:pPr>
        <w:rPr>
          <w:rFonts w:ascii="Garamond" w:hAnsi="Garamond"/>
          <w:b/>
          <w:bCs/>
        </w:rPr>
      </w:pPr>
    </w:p>
    <w:p w14:paraId="69E3F1B9" w14:textId="77777777" w:rsidR="002F5F9B" w:rsidRPr="009A61E9" w:rsidRDefault="002F5F9B" w:rsidP="002F5F9B">
      <w:pPr>
        <w:rPr>
          <w:rFonts w:ascii="Garamond" w:hAnsi="Garamond"/>
        </w:rPr>
      </w:pPr>
      <w:r w:rsidRPr="009A61E9">
        <w:rPr>
          <w:rFonts w:ascii="Garamond" w:hAnsi="Garamond"/>
          <w:b/>
          <w:bCs/>
        </w:rPr>
        <w:t>Equipment</w:t>
      </w:r>
      <w:r w:rsidRPr="009A61E9">
        <w:rPr>
          <w:rFonts w:ascii="Garamond" w:hAnsi="Garamond"/>
        </w:rPr>
        <w:t>:</w:t>
      </w:r>
    </w:p>
    <w:p w14:paraId="68BD3D0B" w14:textId="54BCE08E" w:rsidR="002F5F9B" w:rsidRPr="009A61E9" w:rsidRDefault="002F5F9B" w:rsidP="002F5F9B">
      <w:pPr>
        <w:rPr>
          <w:rFonts w:ascii="Garamond" w:hAnsi="Garamond"/>
        </w:rPr>
      </w:pPr>
    </w:p>
    <w:p w14:paraId="6CFF7BF4" w14:textId="73662BF9" w:rsidR="00FD1C42" w:rsidRPr="009A61E9" w:rsidRDefault="00FD1C42" w:rsidP="002F5F9B">
      <w:pPr>
        <w:rPr>
          <w:rFonts w:ascii="Garamond" w:hAnsi="Garamond"/>
        </w:rPr>
      </w:pPr>
      <w:r w:rsidRPr="009A61E9">
        <w:rPr>
          <w:rFonts w:ascii="Garamond" w:hAnsi="Garamond"/>
        </w:rPr>
        <w:t>4x26-Well Combs, Fixed Height, 1.5 mm Thickness, Multichannel Pipet Compatible (BIO-RAD; #1704457)</w:t>
      </w:r>
    </w:p>
    <w:p w14:paraId="035ED09B" w14:textId="4B013632" w:rsidR="00FD1C42" w:rsidRPr="009A61E9" w:rsidRDefault="00FD1C42" w:rsidP="002F5F9B">
      <w:pPr>
        <w:rPr>
          <w:rFonts w:ascii="Garamond" w:hAnsi="Garamond"/>
        </w:rPr>
      </w:pPr>
      <w:r w:rsidRPr="009A61E9">
        <w:rPr>
          <w:rFonts w:ascii="Garamond" w:hAnsi="Garamond"/>
        </w:rPr>
        <w:t>Sub-Cell GT Horizontal Electrophoresis System, 15 x 25 cm tray, with gel caster (BIO-RAD; #1704484)</w:t>
      </w:r>
    </w:p>
    <w:p w14:paraId="2B17ADE9" w14:textId="3C6A5480" w:rsidR="00FD1C42" w:rsidRPr="009A61E9" w:rsidRDefault="00E0283D" w:rsidP="002F5F9B">
      <w:pPr>
        <w:rPr>
          <w:rFonts w:ascii="Garamond" w:hAnsi="Garamond"/>
        </w:rPr>
      </w:pPr>
      <w:r w:rsidRPr="009A61E9">
        <w:rPr>
          <w:rFonts w:ascii="Garamond" w:hAnsi="Garamond"/>
        </w:rPr>
        <w:t>0.5</w:t>
      </w:r>
      <w:r w:rsidR="00FD1C42" w:rsidRPr="009A61E9">
        <w:rPr>
          <w:rFonts w:ascii="Garamond" w:hAnsi="Garamond"/>
        </w:rPr>
        <w:t xml:space="preserve"> L Erlenmeyer flask</w:t>
      </w:r>
    </w:p>
    <w:p w14:paraId="742F633E" w14:textId="77777777" w:rsidR="00FD1C42" w:rsidRPr="009A61E9" w:rsidRDefault="00FD1C42" w:rsidP="002F5F9B">
      <w:pPr>
        <w:rPr>
          <w:rFonts w:ascii="Garamond" w:hAnsi="Garamond"/>
        </w:rPr>
      </w:pPr>
    </w:p>
    <w:p w14:paraId="3EDBABFC" w14:textId="4968EEEC" w:rsidR="002F5F9B" w:rsidRPr="009A61E9" w:rsidRDefault="00A84743" w:rsidP="002F5F9B">
      <w:pPr>
        <w:rPr>
          <w:rFonts w:ascii="Garamond" w:hAnsi="Garamond"/>
        </w:rPr>
      </w:pPr>
      <w:r w:rsidRPr="009A61E9">
        <w:rPr>
          <w:rFonts w:ascii="Garamond" w:hAnsi="Garamond"/>
          <w:b/>
          <w:bCs/>
        </w:rPr>
        <w:t>B</w:t>
      </w:r>
      <w:r w:rsidR="002F5F9B" w:rsidRPr="009A61E9">
        <w:rPr>
          <w:rFonts w:ascii="Garamond" w:hAnsi="Garamond"/>
          <w:b/>
          <w:bCs/>
        </w:rPr>
        <w:t>uffers and reagents</w:t>
      </w:r>
      <w:r w:rsidR="002F5F9B" w:rsidRPr="009A61E9">
        <w:rPr>
          <w:rFonts w:ascii="Garamond" w:hAnsi="Garamond"/>
        </w:rPr>
        <w:t>:</w:t>
      </w:r>
    </w:p>
    <w:p w14:paraId="78E1565B" w14:textId="06E58609" w:rsidR="00A84743" w:rsidRPr="009A61E9" w:rsidRDefault="00967FA1" w:rsidP="00A84743">
      <w:pPr>
        <w:rPr>
          <w:rFonts w:ascii="Garamond" w:hAnsi="Garamond"/>
        </w:rPr>
      </w:pPr>
      <w:r>
        <w:rPr>
          <w:rFonts w:ascii="Garamond" w:hAnsi="Garamond"/>
        </w:rPr>
        <w:t xml:space="preserve">HPS Marker generated using </w:t>
      </w:r>
      <w:r w:rsidR="00A84743" w:rsidRPr="009A61E9">
        <w:rPr>
          <w:rFonts w:ascii="Garamond" w:hAnsi="Garamond"/>
        </w:rPr>
        <w:t>Control strain (</w:t>
      </w:r>
      <w:r w:rsidR="00A84743" w:rsidRPr="009A61E9">
        <w:rPr>
          <w:rFonts w:ascii="Garamond" w:hAnsi="Garamond"/>
          <w:i/>
          <w:iCs/>
        </w:rPr>
        <w:t>S. Typhimurium</w:t>
      </w:r>
      <w:r w:rsidR="00A84743" w:rsidRPr="009A61E9">
        <w:rPr>
          <w:rFonts w:ascii="Garamond" w:hAnsi="Garamond"/>
        </w:rPr>
        <w:t xml:space="preserve"> ATCC - 14028)</w:t>
      </w:r>
    </w:p>
    <w:p w14:paraId="08E5C8AA" w14:textId="316F604E" w:rsidR="00FD1C42" w:rsidRPr="009A61E9" w:rsidRDefault="00FD1C42" w:rsidP="002F5F9B">
      <w:pPr>
        <w:rPr>
          <w:rFonts w:ascii="Garamond" w:hAnsi="Garamond"/>
        </w:rPr>
      </w:pPr>
      <w:r w:rsidRPr="009A61E9">
        <w:rPr>
          <w:rFonts w:ascii="Garamond" w:hAnsi="Garamond"/>
        </w:rPr>
        <w:t>10x TBE (Fisher Scientific; #BP1333)</w:t>
      </w:r>
      <w:r w:rsidR="003E719E">
        <w:rPr>
          <w:rFonts w:ascii="Garamond" w:hAnsi="Garamond"/>
        </w:rPr>
        <w:t xml:space="preserve"> (note: </w:t>
      </w:r>
      <w:r w:rsidR="00EC038F">
        <w:rPr>
          <w:rFonts w:ascii="Garamond" w:hAnsi="Garamond"/>
        </w:rPr>
        <w:t xml:space="preserve">It is important </w:t>
      </w:r>
      <w:r w:rsidR="00FC2EBB">
        <w:rPr>
          <w:rFonts w:ascii="Garamond" w:hAnsi="Garamond"/>
        </w:rPr>
        <w:t>to use TBE; buffers such</w:t>
      </w:r>
      <w:r w:rsidR="00B857E2">
        <w:rPr>
          <w:rFonts w:ascii="Garamond" w:hAnsi="Garamond"/>
        </w:rPr>
        <w:t xml:space="preserve"> as</w:t>
      </w:r>
      <w:r w:rsidR="000E2239">
        <w:rPr>
          <w:rFonts w:ascii="Garamond" w:hAnsi="Garamond"/>
        </w:rPr>
        <w:t xml:space="preserve"> SB do not perform as well</w:t>
      </w:r>
      <w:r w:rsidR="00B857E2">
        <w:rPr>
          <w:rFonts w:ascii="Garamond" w:hAnsi="Garamond"/>
        </w:rPr>
        <w:t xml:space="preserve"> i.e.</w:t>
      </w:r>
      <w:r w:rsidR="00E203E3">
        <w:rPr>
          <w:rFonts w:ascii="Garamond" w:hAnsi="Garamond"/>
        </w:rPr>
        <w:t xml:space="preserve"> results in poor band separation</w:t>
      </w:r>
      <w:r w:rsidR="000E2239">
        <w:rPr>
          <w:rFonts w:ascii="Garamond" w:hAnsi="Garamond"/>
        </w:rPr>
        <w:t>)</w:t>
      </w:r>
    </w:p>
    <w:p w14:paraId="4E8C2B47" w14:textId="37080307" w:rsidR="00FD1C42" w:rsidRPr="009A61E9" w:rsidRDefault="00FD1C42" w:rsidP="002F5F9B">
      <w:pPr>
        <w:rPr>
          <w:rFonts w:ascii="Garamond" w:hAnsi="Garamond"/>
        </w:rPr>
      </w:pPr>
      <w:r w:rsidRPr="009A61E9">
        <w:rPr>
          <w:rFonts w:ascii="Garamond" w:hAnsi="Garamond"/>
        </w:rPr>
        <w:t>Bullseye General Purpose Agarose GP2 (</w:t>
      </w:r>
      <w:proofErr w:type="spellStart"/>
      <w:r w:rsidRPr="009A61E9">
        <w:rPr>
          <w:rFonts w:ascii="Garamond" w:hAnsi="Garamond"/>
        </w:rPr>
        <w:t>MidSci</w:t>
      </w:r>
      <w:proofErr w:type="spellEnd"/>
      <w:r w:rsidRPr="009A61E9">
        <w:rPr>
          <w:rFonts w:ascii="Garamond" w:hAnsi="Garamond"/>
        </w:rPr>
        <w:t>; #BE-A500)</w:t>
      </w:r>
    </w:p>
    <w:p w14:paraId="7AEDD964" w14:textId="0B88ABCA" w:rsidR="00FD1C42" w:rsidRPr="009A61E9" w:rsidRDefault="00E0283D" w:rsidP="002F5F9B">
      <w:pPr>
        <w:rPr>
          <w:rFonts w:ascii="Garamond" w:hAnsi="Garamond"/>
        </w:rPr>
      </w:pPr>
      <w:r w:rsidRPr="009A61E9">
        <w:rPr>
          <w:rFonts w:ascii="Garamond" w:hAnsi="Garamond"/>
        </w:rPr>
        <w:t>6x loading dye</w:t>
      </w:r>
      <w:r w:rsidR="009A61E9" w:rsidRPr="009A61E9">
        <w:rPr>
          <w:rFonts w:ascii="Garamond" w:hAnsi="Garamond"/>
        </w:rPr>
        <w:t xml:space="preserve"> (purchased or homemade)</w:t>
      </w:r>
    </w:p>
    <w:p w14:paraId="4E940CA3" w14:textId="77777777" w:rsidR="00FD1C42" w:rsidRPr="009A61E9" w:rsidRDefault="00FD1C42" w:rsidP="002F5F9B">
      <w:pPr>
        <w:rPr>
          <w:rFonts w:ascii="Garamond" w:hAnsi="Garamond"/>
          <w:color w:val="FF0000"/>
        </w:rPr>
      </w:pPr>
    </w:p>
    <w:p w14:paraId="7661FD8B" w14:textId="77777777" w:rsidR="00FD1C42" w:rsidRPr="009A61E9" w:rsidRDefault="00FD1C42" w:rsidP="002F5F9B">
      <w:pPr>
        <w:rPr>
          <w:rFonts w:ascii="Garamond" w:hAnsi="Garamond"/>
          <w:color w:val="FF0000"/>
        </w:rPr>
      </w:pPr>
    </w:p>
    <w:p w14:paraId="091E13BA" w14:textId="77777777" w:rsidR="00FD1C42" w:rsidRPr="009A61E9" w:rsidRDefault="00FD1C42" w:rsidP="002F5F9B">
      <w:pPr>
        <w:rPr>
          <w:rFonts w:ascii="Garamond" w:hAnsi="Garamond"/>
          <w:color w:val="FF0000"/>
        </w:rPr>
      </w:pPr>
    </w:p>
    <w:p w14:paraId="0C61A5FC" w14:textId="77777777" w:rsidR="002F5F9B" w:rsidRPr="009A61E9" w:rsidRDefault="002F5F9B" w:rsidP="002F5F9B">
      <w:pPr>
        <w:rPr>
          <w:rFonts w:ascii="Garamond" w:hAnsi="Garamond"/>
        </w:rPr>
      </w:pPr>
    </w:p>
    <w:p w14:paraId="19297A4F" w14:textId="05AB4108" w:rsidR="002F5F9B" w:rsidRPr="009A61E9" w:rsidRDefault="002F5F9B" w:rsidP="002F5F9B">
      <w:pPr>
        <w:rPr>
          <w:rFonts w:ascii="Garamond" w:hAnsi="Garamond"/>
        </w:rPr>
      </w:pPr>
      <w:r w:rsidRPr="009A61E9">
        <w:rPr>
          <w:rFonts w:ascii="Garamond" w:hAnsi="Garamond"/>
          <w:b/>
          <w:bCs/>
        </w:rPr>
        <w:t>Protocol</w:t>
      </w:r>
      <w:r w:rsidRPr="009A61E9">
        <w:rPr>
          <w:rFonts w:ascii="Garamond" w:hAnsi="Garamond"/>
        </w:rPr>
        <w:t>:</w:t>
      </w:r>
      <w:r w:rsidR="00DA76C5" w:rsidRPr="009A61E9">
        <w:rPr>
          <w:rFonts w:ascii="Garamond" w:hAnsi="Garamond"/>
        </w:rPr>
        <w:t xml:space="preserve"> </w:t>
      </w:r>
    </w:p>
    <w:p w14:paraId="15EA78BF" w14:textId="77777777" w:rsidR="00DA76C5" w:rsidRPr="009A61E9" w:rsidRDefault="00DA76C5" w:rsidP="002F5F9B">
      <w:pPr>
        <w:rPr>
          <w:rFonts w:ascii="Garamond" w:hAnsi="Garamond"/>
        </w:rPr>
      </w:pPr>
    </w:p>
    <w:p w14:paraId="7D9BCD2A" w14:textId="0AD76AFF" w:rsidR="00E727AC" w:rsidRPr="009A61E9" w:rsidRDefault="00FD1C42" w:rsidP="002F5F9B">
      <w:pPr>
        <w:rPr>
          <w:rFonts w:ascii="Garamond" w:hAnsi="Garamond"/>
        </w:rPr>
      </w:pPr>
      <w:r w:rsidRPr="009A61E9">
        <w:rPr>
          <w:rFonts w:ascii="Garamond" w:hAnsi="Garamond"/>
        </w:rPr>
        <w:t xml:space="preserve">Make </w:t>
      </w:r>
      <w:r w:rsidR="009A61E9" w:rsidRPr="009A61E9">
        <w:rPr>
          <w:rFonts w:ascii="Garamond" w:hAnsi="Garamond"/>
        </w:rPr>
        <w:t xml:space="preserve">a </w:t>
      </w:r>
      <w:r w:rsidR="00E0283D" w:rsidRPr="009A61E9">
        <w:rPr>
          <w:rFonts w:ascii="Garamond" w:hAnsi="Garamond"/>
        </w:rPr>
        <w:t>2%</w:t>
      </w:r>
      <w:r w:rsidRPr="009A61E9">
        <w:rPr>
          <w:rFonts w:ascii="Garamond" w:hAnsi="Garamond"/>
        </w:rPr>
        <w:t xml:space="preserve"> </w:t>
      </w:r>
      <w:r w:rsidR="00E0283D" w:rsidRPr="009A61E9">
        <w:rPr>
          <w:rFonts w:ascii="Garamond" w:hAnsi="Garamond"/>
        </w:rPr>
        <w:t xml:space="preserve">agarose </w:t>
      </w:r>
      <w:r w:rsidRPr="009A61E9">
        <w:rPr>
          <w:rFonts w:ascii="Garamond" w:hAnsi="Garamond"/>
        </w:rPr>
        <w:t>gel (</w:t>
      </w:r>
      <w:r w:rsidR="00E0283D" w:rsidRPr="009A61E9">
        <w:rPr>
          <w:rFonts w:ascii="Garamond" w:hAnsi="Garamond"/>
        </w:rPr>
        <w:t>in 0.5 L flask, dissolve with heat</w:t>
      </w:r>
      <w:r w:rsidRPr="009A61E9">
        <w:rPr>
          <w:rFonts w:ascii="Garamond" w:hAnsi="Garamond"/>
        </w:rPr>
        <w:t xml:space="preserve"> 5 g agarose </w:t>
      </w:r>
      <w:r w:rsidR="00E0283D" w:rsidRPr="009A61E9">
        <w:rPr>
          <w:rFonts w:ascii="Garamond" w:hAnsi="Garamond"/>
        </w:rPr>
        <w:t>in 250 mL of 1 x TBE)</w:t>
      </w:r>
      <w:r w:rsidRPr="009A61E9">
        <w:rPr>
          <w:rFonts w:ascii="Garamond" w:hAnsi="Garamond"/>
        </w:rPr>
        <w:t xml:space="preserve"> and cast in 15 x 25 cm tray</w:t>
      </w:r>
      <w:r w:rsidR="00E0283D" w:rsidRPr="009A61E9">
        <w:rPr>
          <w:rFonts w:ascii="Garamond" w:hAnsi="Garamond"/>
        </w:rPr>
        <w:t>.</w:t>
      </w:r>
    </w:p>
    <w:p w14:paraId="661DDE21" w14:textId="2C472360" w:rsidR="00E727AC" w:rsidRPr="009A61E9" w:rsidRDefault="00E727AC" w:rsidP="002F5F9B">
      <w:pPr>
        <w:rPr>
          <w:rFonts w:ascii="Garamond" w:hAnsi="Garamond"/>
        </w:rPr>
      </w:pPr>
    </w:p>
    <w:p w14:paraId="4024F0DE" w14:textId="373BB1A2" w:rsidR="00E0283D" w:rsidRPr="009A61E9" w:rsidRDefault="00E0283D" w:rsidP="002F5F9B">
      <w:pPr>
        <w:rPr>
          <w:rFonts w:ascii="Garamond" w:hAnsi="Garamond"/>
        </w:rPr>
      </w:pPr>
      <w:r w:rsidRPr="009A61E9">
        <w:rPr>
          <w:rFonts w:ascii="Garamond" w:hAnsi="Garamond"/>
        </w:rPr>
        <w:t xml:space="preserve">After gel is setup, transfer to buffer tank containing enough 1X TBE to cover gel and remove combs.    </w:t>
      </w:r>
      <w:r w:rsidR="009A61E9" w:rsidRPr="009A61E9">
        <w:rPr>
          <w:rFonts w:ascii="Garamond" w:hAnsi="Garamond"/>
        </w:rPr>
        <w:t xml:space="preserve">To completed HPS PCR reaction plate, gently remove the </w:t>
      </w:r>
      <w:proofErr w:type="spellStart"/>
      <w:r w:rsidR="009A61E9" w:rsidRPr="009A61E9">
        <w:rPr>
          <w:rFonts w:ascii="Garamond" w:hAnsi="Garamond"/>
        </w:rPr>
        <w:t>Microseal</w:t>
      </w:r>
      <w:proofErr w:type="spellEnd"/>
      <w:r w:rsidR="009A61E9" w:rsidRPr="009A61E9">
        <w:rPr>
          <w:rFonts w:ascii="Garamond" w:hAnsi="Garamond"/>
        </w:rPr>
        <w:t xml:space="preserve"> B cover tape, add 6 µL of 6x loading dye to the reaction.  Pipette up and down to mix, then with same tip, transfer 6 µL of mixture to the gel and dispense in an appropriate well.  </w:t>
      </w:r>
    </w:p>
    <w:p w14:paraId="723B36E2" w14:textId="053072A3" w:rsidR="00E727AC" w:rsidRPr="009A61E9" w:rsidRDefault="00E727AC" w:rsidP="002F5F9B">
      <w:pPr>
        <w:rPr>
          <w:rFonts w:ascii="Garamond" w:hAnsi="Garamond"/>
        </w:rPr>
      </w:pPr>
    </w:p>
    <w:p w14:paraId="6C2ED311" w14:textId="1D43EA99" w:rsidR="009A61E9" w:rsidRPr="009A61E9" w:rsidRDefault="009A61E9" w:rsidP="009A61E9">
      <w:pPr>
        <w:rPr>
          <w:rFonts w:ascii="Garamond" w:hAnsi="Garamond"/>
        </w:rPr>
      </w:pPr>
      <w:r w:rsidRPr="009A61E9">
        <w:rPr>
          <w:rFonts w:ascii="Garamond" w:hAnsi="Garamond"/>
        </w:rPr>
        <w:t xml:space="preserve">Flank with control strain </w:t>
      </w:r>
      <w:r w:rsidRPr="009A61E9">
        <w:rPr>
          <w:rFonts w:ascii="Garamond" w:hAnsi="Garamond"/>
          <w:i/>
          <w:iCs/>
        </w:rPr>
        <w:t>S. Typhimurium</w:t>
      </w:r>
      <w:r w:rsidRPr="009A61E9">
        <w:rPr>
          <w:rFonts w:ascii="Garamond" w:hAnsi="Garamond"/>
        </w:rPr>
        <w:t xml:space="preserve"> ATCC – 14028 on either side of reaction wells.</w:t>
      </w:r>
    </w:p>
    <w:p w14:paraId="518BA9BA" w14:textId="75FB1C9C" w:rsidR="009A61E9" w:rsidRPr="009A61E9" w:rsidRDefault="009A61E9" w:rsidP="009A61E9">
      <w:pPr>
        <w:rPr>
          <w:rFonts w:ascii="Garamond" w:hAnsi="Garamond"/>
        </w:rPr>
      </w:pPr>
    </w:p>
    <w:p w14:paraId="3D8576EC" w14:textId="00C86DD4" w:rsidR="009A61E9" w:rsidRPr="009A61E9" w:rsidRDefault="009A61E9" w:rsidP="009A61E9">
      <w:pPr>
        <w:rPr>
          <w:rFonts w:ascii="Garamond" w:hAnsi="Garamond"/>
        </w:rPr>
      </w:pPr>
      <w:r w:rsidRPr="009A61E9">
        <w:rPr>
          <w:rFonts w:ascii="Garamond" w:hAnsi="Garamond"/>
        </w:rPr>
        <w:t>Run gel at 170 volts for approximately 60 minutes.</w:t>
      </w:r>
    </w:p>
    <w:p w14:paraId="242A19A9" w14:textId="7E273DD8" w:rsidR="009A61E9" w:rsidRPr="009A61E9" w:rsidRDefault="009A61E9" w:rsidP="009A61E9">
      <w:pPr>
        <w:rPr>
          <w:rFonts w:ascii="Garamond" w:hAnsi="Garamond"/>
        </w:rPr>
      </w:pPr>
    </w:p>
    <w:p w14:paraId="3EC82F32" w14:textId="5A0BEA28" w:rsidR="009A61E9" w:rsidRPr="009A61E9" w:rsidRDefault="009A61E9" w:rsidP="009A61E9">
      <w:pPr>
        <w:contextualSpacing/>
        <w:rPr>
          <w:rFonts w:ascii="Garamond" w:hAnsi="Garamond" w:cs="Times New Roman"/>
        </w:rPr>
      </w:pPr>
      <w:r w:rsidRPr="009A61E9">
        <w:rPr>
          <w:rFonts w:ascii="Garamond" w:hAnsi="Garamond" w:cs="Times New Roman"/>
          <w:i/>
        </w:rPr>
        <w:t>Staining</w:t>
      </w:r>
      <w:r w:rsidRPr="009A61E9">
        <w:rPr>
          <w:rFonts w:ascii="Garamond" w:hAnsi="Garamond" w:cs="Times New Roman"/>
        </w:rPr>
        <w:br/>
        <w:t xml:space="preserve">After electrophoresis, stain the gel with Ethidium Bromide (EtBr) (use caution and appropriate PPE with EtBr (carcinogen) (~1 </w:t>
      </w:r>
      <w:proofErr w:type="spellStart"/>
      <w:r w:rsidRPr="009A61E9">
        <w:rPr>
          <w:rFonts w:ascii="Garamond" w:hAnsi="Garamond" w:cs="Times New Roman"/>
        </w:rPr>
        <w:t>μg</w:t>
      </w:r>
      <w:proofErr w:type="spellEnd"/>
      <w:r w:rsidRPr="009A61E9">
        <w:rPr>
          <w:rFonts w:ascii="Garamond" w:hAnsi="Garamond" w:cs="Times New Roman"/>
        </w:rPr>
        <w:t xml:space="preserve">/mL [from a 1% stock solution, add 10 </w:t>
      </w:r>
      <w:proofErr w:type="spellStart"/>
      <w:r w:rsidRPr="009A61E9">
        <w:rPr>
          <w:rFonts w:ascii="Garamond" w:hAnsi="Garamond" w:cs="Times New Roman"/>
        </w:rPr>
        <w:t>μL</w:t>
      </w:r>
      <w:proofErr w:type="spellEnd"/>
      <w:r w:rsidRPr="009A61E9">
        <w:rPr>
          <w:rFonts w:ascii="Garamond" w:hAnsi="Garamond" w:cs="Times New Roman"/>
        </w:rPr>
        <w:t xml:space="preserve"> EtBr per 100 mL dH</w:t>
      </w:r>
      <w:r w:rsidRPr="009A61E9">
        <w:rPr>
          <w:rFonts w:ascii="Garamond" w:hAnsi="Garamond" w:cs="Times New Roman"/>
          <w:vertAlign w:val="subscript"/>
        </w:rPr>
        <w:t>2</w:t>
      </w:r>
      <w:r w:rsidRPr="009A61E9">
        <w:rPr>
          <w:rFonts w:ascii="Garamond" w:hAnsi="Garamond" w:cs="Times New Roman"/>
        </w:rPr>
        <w:t xml:space="preserve">O) for 30 min. Use a </w:t>
      </w:r>
      <w:proofErr w:type="spellStart"/>
      <w:r w:rsidRPr="009A61E9">
        <w:rPr>
          <w:rFonts w:ascii="Garamond" w:hAnsi="Garamond" w:cs="Times New Roman"/>
        </w:rPr>
        <w:t>BioRad</w:t>
      </w:r>
      <w:proofErr w:type="spellEnd"/>
      <w:r w:rsidRPr="009A61E9">
        <w:rPr>
          <w:rFonts w:ascii="Garamond" w:hAnsi="Garamond" w:cs="Times New Roman"/>
        </w:rPr>
        <w:t xml:space="preserve"> staining tray with a lid and place this on a rocker to gently agitate the stain with the gel in the tray. </w:t>
      </w:r>
    </w:p>
    <w:p w14:paraId="20C76649" w14:textId="44173440" w:rsidR="009A61E9" w:rsidRPr="009A61E9" w:rsidRDefault="009A61E9" w:rsidP="009A61E9">
      <w:pPr>
        <w:contextualSpacing/>
        <w:rPr>
          <w:rFonts w:ascii="Garamond" w:hAnsi="Garamond" w:cs="Times New Roman"/>
        </w:rPr>
      </w:pPr>
      <w:r w:rsidRPr="009A61E9">
        <w:rPr>
          <w:rFonts w:ascii="Garamond" w:hAnsi="Garamond" w:cs="Times New Roman"/>
        </w:rPr>
        <w:t>Carefully pour off the stain (using gloves and appropriate PPE)</w:t>
      </w:r>
    </w:p>
    <w:p w14:paraId="1CABBF2F" w14:textId="75615347" w:rsidR="009A61E9" w:rsidRPr="009A61E9" w:rsidRDefault="009A61E9" w:rsidP="009A61E9">
      <w:pPr>
        <w:contextualSpacing/>
        <w:rPr>
          <w:rFonts w:ascii="Garamond" w:hAnsi="Garamond" w:cs="Times New Roman"/>
        </w:rPr>
      </w:pPr>
      <w:r w:rsidRPr="009A61E9">
        <w:rPr>
          <w:rFonts w:ascii="Garamond" w:hAnsi="Garamond" w:cs="Times New Roman"/>
        </w:rPr>
        <w:t>Add 100 ml of water to the tray, to de-stain the gel (again using a rocker on low setting) for 15-20 minutes. Dispose of the de-stain water appropriately).</w:t>
      </w:r>
    </w:p>
    <w:p w14:paraId="03D23E8D" w14:textId="57FD587A" w:rsidR="009A61E9" w:rsidRPr="009A61E9" w:rsidRDefault="009A61E9" w:rsidP="009A61E9">
      <w:pPr>
        <w:contextualSpacing/>
        <w:rPr>
          <w:rFonts w:ascii="Garamond" w:hAnsi="Garamond" w:cs="Times New Roman"/>
        </w:rPr>
      </w:pPr>
      <w:r w:rsidRPr="009A61E9">
        <w:rPr>
          <w:rFonts w:ascii="Garamond" w:hAnsi="Garamond" w:cs="Times New Roman"/>
        </w:rPr>
        <w:t>Image with a UV imager</w:t>
      </w:r>
    </w:p>
    <w:p w14:paraId="33B65DD9" w14:textId="77777777" w:rsidR="009A61E9" w:rsidRPr="009A61E9" w:rsidRDefault="009A61E9" w:rsidP="009A61E9">
      <w:pPr>
        <w:contextualSpacing/>
        <w:rPr>
          <w:rFonts w:ascii="Garamond" w:hAnsi="Garamond" w:cs="Times New Roman"/>
        </w:rPr>
      </w:pPr>
    </w:p>
    <w:p w14:paraId="427C8A08" w14:textId="77777777" w:rsidR="009A61E9" w:rsidRPr="009A61E9" w:rsidRDefault="009A61E9" w:rsidP="009A61E9">
      <w:pPr>
        <w:rPr>
          <w:rFonts w:ascii="Garamond" w:hAnsi="Garamond"/>
        </w:rPr>
      </w:pPr>
    </w:p>
    <w:p w14:paraId="2EAA8675" w14:textId="5B641628" w:rsidR="009A61E9" w:rsidRPr="009A61E9" w:rsidRDefault="009A61E9" w:rsidP="002F5F9B">
      <w:pPr>
        <w:rPr>
          <w:rFonts w:ascii="Garamond" w:hAnsi="Garamond"/>
        </w:rPr>
      </w:pPr>
    </w:p>
    <w:p w14:paraId="1DB718D1" w14:textId="143FD24F" w:rsidR="00E727AC" w:rsidRPr="009A61E9" w:rsidRDefault="00E727AC">
      <w:pPr>
        <w:rPr>
          <w:rFonts w:ascii="Garamond" w:hAnsi="Garamond"/>
        </w:rPr>
      </w:pPr>
      <w:r w:rsidRPr="009A61E9">
        <w:rPr>
          <w:rFonts w:ascii="Garamond" w:hAnsi="Garamond"/>
        </w:rPr>
        <w:br w:type="page"/>
      </w:r>
    </w:p>
    <w:p w14:paraId="6F73E601" w14:textId="5E8F109B" w:rsidR="00E727AC" w:rsidRPr="009A61E9" w:rsidRDefault="00A84743" w:rsidP="002F5F9B">
      <w:pPr>
        <w:rPr>
          <w:rFonts w:ascii="Garamond" w:hAnsi="Garamond"/>
          <w:b/>
          <w:bCs/>
        </w:rPr>
      </w:pPr>
      <w:r w:rsidRPr="009A61E9">
        <w:rPr>
          <w:rFonts w:ascii="Garamond" w:hAnsi="Garamond"/>
          <w:b/>
          <w:bCs/>
        </w:rPr>
        <w:lastRenderedPageBreak/>
        <w:t>Tables</w:t>
      </w:r>
    </w:p>
    <w:p w14:paraId="1FF2EFD9" w14:textId="77777777" w:rsidR="00A84743" w:rsidRPr="009A61E9" w:rsidRDefault="00A84743" w:rsidP="002F5F9B">
      <w:pPr>
        <w:rPr>
          <w:rFonts w:ascii="Garamond" w:hAnsi="Garamond"/>
        </w:rPr>
      </w:pPr>
    </w:p>
    <w:p w14:paraId="4CEC7FD0" w14:textId="64BA7B8B" w:rsidR="00A84743" w:rsidRPr="009A61E9" w:rsidRDefault="00A84743" w:rsidP="002F5F9B">
      <w:pPr>
        <w:rPr>
          <w:rFonts w:ascii="Garamond" w:hAnsi="Garamond"/>
        </w:rPr>
      </w:pPr>
      <w:r w:rsidRPr="009A61E9">
        <w:rPr>
          <w:rFonts w:ascii="Garamond" w:hAnsi="Garamond"/>
        </w:rPr>
        <w:t>Table 1. HPS primer list</w:t>
      </w:r>
    </w:p>
    <w:p w14:paraId="21FF7F89" w14:textId="61CC825C" w:rsidR="00A84743" w:rsidRPr="009A61E9" w:rsidRDefault="00A84743" w:rsidP="002F5F9B">
      <w:pPr>
        <w:rPr>
          <w:rFonts w:ascii="Garamond" w:hAnsi="Garamond"/>
        </w:rPr>
      </w:pPr>
      <w:r w:rsidRPr="009A61E9">
        <w:rPr>
          <w:rFonts w:ascii="Garamond" w:hAnsi="Garamond"/>
          <w:noProof/>
        </w:rPr>
        <w:drawing>
          <wp:inline distT="0" distB="0" distL="0" distR="0" wp14:anchorId="7DB1EA38" wp14:editId="0170A5C1">
            <wp:extent cx="5943600" cy="27571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76A7B" w14:textId="77777777" w:rsidR="000E1DFC" w:rsidRPr="009A61E9" w:rsidRDefault="000E1DFC">
      <w:pPr>
        <w:rPr>
          <w:rFonts w:ascii="Garamond" w:hAnsi="Garamond"/>
        </w:rPr>
      </w:pPr>
    </w:p>
    <w:p w14:paraId="5416F5A8" w14:textId="77777777" w:rsidR="000E1DFC" w:rsidRPr="009A61E9" w:rsidRDefault="000E1DFC">
      <w:pPr>
        <w:rPr>
          <w:rFonts w:ascii="Garamond" w:hAnsi="Garamond"/>
        </w:rPr>
      </w:pPr>
    </w:p>
    <w:p w14:paraId="54DF454A" w14:textId="7163A041" w:rsidR="00A84743" w:rsidRPr="009A61E9" w:rsidRDefault="00A84743">
      <w:pPr>
        <w:rPr>
          <w:rFonts w:ascii="Garamond" w:hAnsi="Garamond"/>
        </w:rPr>
      </w:pPr>
      <w:r w:rsidRPr="009A61E9">
        <w:rPr>
          <w:rFonts w:ascii="Garamond" w:hAnsi="Garamond"/>
        </w:rPr>
        <w:t>Table 2. HPS Master Mix</w:t>
      </w:r>
      <w:r w:rsidR="00DA76C5" w:rsidRPr="009A61E9">
        <w:rPr>
          <w:rFonts w:ascii="Garamond" w:hAnsi="Garamond"/>
          <w:color w:val="FF0000"/>
        </w:rPr>
        <w:t xml:space="preserve"> </w:t>
      </w:r>
      <w:r w:rsidR="0094788B" w:rsidRPr="009A61E9">
        <w:rPr>
          <w:rFonts w:ascii="Garamond" w:hAnsi="Garamond"/>
          <w:noProof/>
        </w:rPr>
        <w:drawing>
          <wp:inline distT="0" distB="0" distL="0" distR="0" wp14:anchorId="6F264C36" wp14:editId="4311E26E">
            <wp:extent cx="5200650" cy="4193858"/>
            <wp:effectExtent l="0" t="0" r="0" b="0"/>
            <wp:docPr id="15" name="Picture 14" descr="Graphical user interface, tab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59E9E91-8420-39F4-1D63-DB69007F78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Graphical user interface, table&#10;&#10;Description automatically generated">
                      <a:extLst>
                        <a:ext uri="{FF2B5EF4-FFF2-40B4-BE49-F238E27FC236}">
                          <a16:creationId xmlns:a16="http://schemas.microsoft.com/office/drawing/2014/main" id="{659E9E91-8420-39F4-1D63-DB69007F789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1939" t="3483" r="2976" b="3283"/>
                    <a:stretch/>
                  </pic:blipFill>
                  <pic:spPr>
                    <a:xfrm>
                      <a:off x="0" y="0"/>
                      <a:ext cx="5204679" cy="419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3C4AE" w14:textId="7354A9E3" w:rsidR="00A84743" w:rsidRPr="009A61E9" w:rsidRDefault="00A84743" w:rsidP="00A84743">
      <w:pPr>
        <w:rPr>
          <w:rFonts w:ascii="Garamond" w:hAnsi="Garamond"/>
        </w:rPr>
      </w:pPr>
      <w:r w:rsidRPr="009A61E9">
        <w:rPr>
          <w:rFonts w:ascii="Garamond" w:hAnsi="Garamond"/>
        </w:rPr>
        <w:lastRenderedPageBreak/>
        <w:t>Table 3. Thermal cycler program for HPS assay – modified short EHEC from (Paton &amp; Paton (1998) Journal of Clinical Microbiology 36:598-602)</w:t>
      </w:r>
    </w:p>
    <w:p w14:paraId="4DDAB53F" w14:textId="32ECF42B" w:rsidR="00A84743" w:rsidRPr="009A61E9" w:rsidRDefault="00A84743">
      <w:pPr>
        <w:rPr>
          <w:rFonts w:ascii="Garamond" w:hAnsi="Garamond"/>
        </w:rPr>
      </w:pPr>
    </w:p>
    <w:p w14:paraId="2300D890" w14:textId="4882B099" w:rsidR="00A84743" w:rsidRPr="009A61E9" w:rsidRDefault="00A84743">
      <w:pPr>
        <w:rPr>
          <w:rFonts w:ascii="Garamond" w:hAnsi="Garamond"/>
        </w:rPr>
      </w:pPr>
      <w:r w:rsidRPr="009A61E9">
        <w:rPr>
          <w:rFonts w:ascii="Garamond" w:hAnsi="Garamond"/>
          <w:noProof/>
        </w:rPr>
        <w:drawing>
          <wp:inline distT="0" distB="0" distL="0" distR="0" wp14:anchorId="58BDC74E" wp14:editId="0393E07E">
            <wp:extent cx="3556000" cy="4279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A5D03" w14:textId="77777777" w:rsidR="00A84743" w:rsidRPr="009A61E9" w:rsidRDefault="00A84743">
      <w:pPr>
        <w:rPr>
          <w:rFonts w:ascii="Garamond" w:hAnsi="Garamond"/>
        </w:rPr>
      </w:pPr>
    </w:p>
    <w:p w14:paraId="7A451D51" w14:textId="77777777" w:rsidR="00A84743" w:rsidRPr="009A61E9" w:rsidRDefault="00A84743">
      <w:pPr>
        <w:rPr>
          <w:rFonts w:ascii="Garamond" w:hAnsi="Garamond"/>
        </w:rPr>
      </w:pPr>
    </w:p>
    <w:sectPr w:rsidR="00A84743" w:rsidRPr="009A61E9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D9A65" w14:textId="77777777" w:rsidR="00AA1F3F" w:rsidRDefault="00AA1F3F" w:rsidP="002F5F9B">
      <w:r>
        <w:separator/>
      </w:r>
    </w:p>
  </w:endnote>
  <w:endnote w:type="continuationSeparator" w:id="0">
    <w:p w14:paraId="436C9FB6" w14:textId="77777777" w:rsidR="00AA1F3F" w:rsidRDefault="00AA1F3F" w:rsidP="002F5F9B">
      <w:r>
        <w:continuationSeparator/>
      </w:r>
    </w:p>
  </w:endnote>
  <w:endnote w:type="continuationNotice" w:id="1">
    <w:p w14:paraId="2ED150C6" w14:textId="77777777" w:rsidR="00AA1F3F" w:rsidRDefault="00AA1F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73831030"/>
      <w:docPartObj>
        <w:docPartGallery w:val="Page Numbers (Bottom of Page)"/>
        <w:docPartUnique/>
      </w:docPartObj>
    </w:sdtPr>
    <w:sdtContent>
      <w:p w14:paraId="6E8E09C4" w14:textId="2568D415" w:rsidR="002F5F9B" w:rsidRDefault="002F5F9B" w:rsidP="00D9153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638FBD" w14:textId="77777777" w:rsidR="002F5F9B" w:rsidRDefault="002F5F9B" w:rsidP="002F5F9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0410009"/>
      <w:docPartObj>
        <w:docPartGallery w:val="Page Numbers (Bottom of Page)"/>
        <w:docPartUnique/>
      </w:docPartObj>
    </w:sdtPr>
    <w:sdtContent>
      <w:p w14:paraId="26947FFD" w14:textId="6F9017C7" w:rsidR="002F5F9B" w:rsidRDefault="002F5F9B" w:rsidP="00D9153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5748E6" w14:textId="77777777" w:rsidR="002F5F9B" w:rsidRDefault="002F5F9B" w:rsidP="002F5F9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1774" w14:textId="77777777" w:rsidR="00AA1F3F" w:rsidRDefault="00AA1F3F" w:rsidP="002F5F9B">
      <w:r>
        <w:separator/>
      </w:r>
    </w:p>
  </w:footnote>
  <w:footnote w:type="continuationSeparator" w:id="0">
    <w:p w14:paraId="5A04314F" w14:textId="77777777" w:rsidR="00AA1F3F" w:rsidRDefault="00AA1F3F" w:rsidP="002F5F9B">
      <w:r>
        <w:continuationSeparator/>
      </w:r>
    </w:p>
  </w:footnote>
  <w:footnote w:type="continuationNotice" w:id="1">
    <w:p w14:paraId="724F01B0" w14:textId="77777777" w:rsidR="00AA1F3F" w:rsidRDefault="00AA1F3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FC"/>
    <w:rsid w:val="00034AB6"/>
    <w:rsid w:val="0003748F"/>
    <w:rsid w:val="00044358"/>
    <w:rsid w:val="00045833"/>
    <w:rsid w:val="00053E18"/>
    <w:rsid w:val="00060B73"/>
    <w:rsid w:val="00075570"/>
    <w:rsid w:val="000801C2"/>
    <w:rsid w:val="00083D40"/>
    <w:rsid w:val="00094569"/>
    <w:rsid w:val="0009573F"/>
    <w:rsid w:val="00097F19"/>
    <w:rsid w:val="000A3F9E"/>
    <w:rsid w:val="000A693C"/>
    <w:rsid w:val="000B435F"/>
    <w:rsid w:val="000D1CAB"/>
    <w:rsid w:val="000E1DFC"/>
    <w:rsid w:val="000E2239"/>
    <w:rsid w:val="000E56F6"/>
    <w:rsid w:val="000F2FE8"/>
    <w:rsid w:val="000F3578"/>
    <w:rsid w:val="000F463B"/>
    <w:rsid w:val="000F746F"/>
    <w:rsid w:val="000F7ADC"/>
    <w:rsid w:val="00122275"/>
    <w:rsid w:val="00131BEE"/>
    <w:rsid w:val="00153632"/>
    <w:rsid w:val="001573E3"/>
    <w:rsid w:val="00157778"/>
    <w:rsid w:val="0016251D"/>
    <w:rsid w:val="00171D69"/>
    <w:rsid w:val="00191C44"/>
    <w:rsid w:val="001A541D"/>
    <w:rsid w:val="001B0D42"/>
    <w:rsid w:val="001B27A0"/>
    <w:rsid w:val="001B3CE8"/>
    <w:rsid w:val="001D2387"/>
    <w:rsid w:val="001D342F"/>
    <w:rsid w:val="001F0379"/>
    <w:rsid w:val="001F12F4"/>
    <w:rsid w:val="001F15A4"/>
    <w:rsid w:val="00201CDA"/>
    <w:rsid w:val="00202070"/>
    <w:rsid w:val="0022458B"/>
    <w:rsid w:val="0023168B"/>
    <w:rsid w:val="00237715"/>
    <w:rsid w:val="00245F8A"/>
    <w:rsid w:val="00251B21"/>
    <w:rsid w:val="0025213D"/>
    <w:rsid w:val="00261DA1"/>
    <w:rsid w:val="00270317"/>
    <w:rsid w:val="002801A9"/>
    <w:rsid w:val="00281CD8"/>
    <w:rsid w:val="00284E41"/>
    <w:rsid w:val="002B19C2"/>
    <w:rsid w:val="002B3C94"/>
    <w:rsid w:val="002C6FE0"/>
    <w:rsid w:val="002D58F2"/>
    <w:rsid w:val="002D7D10"/>
    <w:rsid w:val="002E019E"/>
    <w:rsid w:val="002F2506"/>
    <w:rsid w:val="002F5F9B"/>
    <w:rsid w:val="00300016"/>
    <w:rsid w:val="00307DBC"/>
    <w:rsid w:val="00312FF7"/>
    <w:rsid w:val="00316B87"/>
    <w:rsid w:val="003249CD"/>
    <w:rsid w:val="00333A57"/>
    <w:rsid w:val="00333A83"/>
    <w:rsid w:val="00344FD1"/>
    <w:rsid w:val="003668AE"/>
    <w:rsid w:val="00367211"/>
    <w:rsid w:val="00367E77"/>
    <w:rsid w:val="0038171B"/>
    <w:rsid w:val="0038255D"/>
    <w:rsid w:val="00390152"/>
    <w:rsid w:val="003926D2"/>
    <w:rsid w:val="00396993"/>
    <w:rsid w:val="003A2732"/>
    <w:rsid w:val="003A3D5F"/>
    <w:rsid w:val="003B6FFA"/>
    <w:rsid w:val="003D4848"/>
    <w:rsid w:val="003E0361"/>
    <w:rsid w:val="003E2077"/>
    <w:rsid w:val="003E719E"/>
    <w:rsid w:val="00412865"/>
    <w:rsid w:val="00424675"/>
    <w:rsid w:val="004405EC"/>
    <w:rsid w:val="004425D2"/>
    <w:rsid w:val="00460F99"/>
    <w:rsid w:val="004729C2"/>
    <w:rsid w:val="004975E2"/>
    <w:rsid w:val="004A0A73"/>
    <w:rsid w:val="004B3D8F"/>
    <w:rsid w:val="004C63B0"/>
    <w:rsid w:val="004F0E9C"/>
    <w:rsid w:val="004F201D"/>
    <w:rsid w:val="00507079"/>
    <w:rsid w:val="005138BD"/>
    <w:rsid w:val="005179C2"/>
    <w:rsid w:val="00531EE3"/>
    <w:rsid w:val="005511C5"/>
    <w:rsid w:val="00552327"/>
    <w:rsid w:val="00565EE5"/>
    <w:rsid w:val="00586E52"/>
    <w:rsid w:val="005874C7"/>
    <w:rsid w:val="00590718"/>
    <w:rsid w:val="00593F11"/>
    <w:rsid w:val="005A336B"/>
    <w:rsid w:val="005C2C34"/>
    <w:rsid w:val="005C440B"/>
    <w:rsid w:val="005D579B"/>
    <w:rsid w:val="005E01BC"/>
    <w:rsid w:val="005F16A7"/>
    <w:rsid w:val="005F329E"/>
    <w:rsid w:val="005F4508"/>
    <w:rsid w:val="00606453"/>
    <w:rsid w:val="0061341F"/>
    <w:rsid w:val="00640497"/>
    <w:rsid w:val="00643B08"/>
    <w:rsid w:val="00645867"/>
    <w:rsid w:val="00651022"/>
    <w:rsid w:val="00655B43"/>
    <w:rsid w:val="00657117"/>
    <w:rsid w:val="006653AC"/>
    <w:rsid w:val="0068553E"/>
    <w:rsid w:val="006B20FE"/>
    <w:rsid w:val="006B3401"/>
    <w:rsid w:val="006E33C4"/>
    <w:rsid w:val="00700C06"/>
    <w:rsid w:val="00705913"/>
    <w:rsid w:val="00712B4D"/>
    <w:rsid w:val="007271D5"/>
    <w:rsid w:val="00733905"/>
    <w:rsid w:val="00750DA6"/>
    <w:rsid w:val="00752DE1"/>
    <w:rsid w:val="00762111"/>
    <w:rsid w:val="007623F8"/>
    <w:rsid w:val="0076367E"/>
    <w:rsid w:val="007817D7"/>
    <w:rsid w:val="00794234"/>
    <w:rsid w:val="0079452C"/>
    <w:rsid w:val="007A3D4F"/>
    <w:rsid w:val="007C6377"/>
    <w:rsid w:val="007E7737"/>
    <w:rsid w:val="007F43A3"/>
    <w:rsid w:val="00805F76"/>
    <w:rsid w:val="00807154"/>
    <w:rsid w:val="008102C7"/>
    <w:rsid w:val="00810F12"/>
    <w:rsid w:val="00831830"/>
    <w:rsid w:val="008346EA"/>
    <w:rsid w:val="00841589"/>
    <w:rsid w:val="00843483"/>
    <w:rsid w:val="0084363D"/>
    <w:rsid w:val="0084678F"/>
    <w:rsid w:val="0085209E"/>
    <w:rsid w:val="008548E0"/>
    <w:rsid w:val="008600B7"/>
    <w:rsid w:val="00864D4C"/>
    <w:rsid w:val="00867C41"/>
    <w:rsid w:val="00872BEA"/>
    <w:rsid w:val="00872E89"/>
    <w:rsid w:val="00884A82"/>
    <w:rsid w:val="00886824"/>
    <w:rsid w:val="00890804"/>
    <w:rsid w:val="008B0723"/>
    <w:rsid w:val="008B4CCD"/>
    <w:rsid w:val="008E0AEE"/>
    <w:rsid w:val="008E3D6C"/>
    <w:rsid w:val="008E580D"/>
    <w:rsid w:val="008F60BD"/>
    <w:rsid w:val="00907C29"/>
    <w:rsid w:val="00911BDF"/>
    <w:rsid w:val="00931C08"/>
    <w:rsid w:val="00933AE2"/>
    <w:rsid w:val="00937CC8"/>
    <w:rsid w:val="00944081"/>
    <w:rsid w:val="0094788B"/>
    <w:rsid w:val="00947EF5"/>
    <w:rsid w:val="00950378"/>
    <w:rsid w:val="00951643"/>
    <w:rsid w:val="00953092"/>
    <w:rsid w:val="009536F0"/>
    <w:rsid w:val="0095745C"/>
    <w:rsid w:val="00960C12"/>
    <w:rsid w:val="00967FA1"/>
    <w:rsid w:val="00977059"/>
    <w:rsid w:val="009818D3"/>
    <w:rsid w:val="00990ADB"/>
    <w:rsid w:val="00990FBF"/>
    <w:rsid w:val="00995D67"/>
    <w:rsid w:val="009A103E"/>
    <w:rsid w:val="009A61E9"/>
    <w:rsid w:val="009A62D9"/>
    <w:rsid w:val="009B5C9A"/>
    <w:rsid w:val="009B7503"/>
    <w:rsid w:val="009C2414"/>
    <w:rsid w:val="009C4B19"/>
    <w:rsid w:val="009E41BE"/>
    <w:rsid w:val="009F3AB3"/>
    <w:rsid w:val="00A018E6"/>
    <w:rsid w:val="00A11B0D"/>
    <w:rsid w:val="00A169F9"/>
    <w:rsid w:val="00A21F6D"/>
    <w:rsid w:val="00A3108A"/>
    <w:rsid w:val="00A36CDF"/>
    <w:rsid w:val="00A459C3"/>
    <w:rsid w:val="00A4714C"/>
    <w:rsid w:val="00A551FD"/>
    <w:rsid w:val="00A61FAC"/>
    <w:rsid w:val="00A63989"/>
    <w:rsid w:val="00A72917"/>
    <w:rsid w:val="00A741A7"/>
    <w:rsid w:val="00A76B0E"/>
    <w:rsid w:val="00A77774"/>
    <w:rsid w:val="00A804AD"/>
    <w:rsid w:val="00A80DDE"/>
    <w:rsid w:val="00A84743"/>
    <w:rsid w:val="00A86CCE"/>
    <w:rsid w:val="00A86F73"/>
    <w:rsid w:val="00A92505"/>
    <w:rsid w:val="00A93437"/>
    <w:rsid w:val="00AA1F3F"/>
    <w:rsid w:val="00AC0184"/>
    <w:rsid w:val="00AC180C"/>
    <w:rsid w:val="00AD716B"/>
    <w:rsid w:val="00AE050A"/>
    <w:rsid w:val="00AE2A8A"/>
    <w:rsid w:val="00AE3E0F"/>
    <w:rsid w:val="00AE71E6"/>
    <w:rsid w:val="00AF2315"/>
    <w:rsid w:val="00AF722F"/>
    <w:rsid w:val="00B155FA"/>
    <w:rsid w:val="00B23957"/>
    <w:rsid w:val="00B23DE6"/>
    <w:rsid w:val="00B26949"/>
    <w:rsid w:val="00B50A64"/>
    <w:rsid w:val="00B526F6"/>
    <w:rsid w:val="00B7017D"/>
    <w:rsid w:val="00B73427"/>
    <w:rsid w:val="00B841D4"/>
    <w:rsid w:val="00B84F87"/>
    <w:rsid w:val="00B857E2"/>
    <w:rsid w:val="00B91989"/>
    <w:rsid w:val="00BA11D7"/>
    <w:rsid w:val="00BA26CC"/>
    <w:rsid w:val="00BB4400"/>
    <w:rsid w:val="00BC3BF0"/>
    <w:rsid w:val="00BC559E"/>
    <w:rsid w:val="00BF1C20"/>
    <w:rsid w:val="00C015B1"/>
    <w:rsid w:val="00C30F1D"/>
    <w:rsid w:val="00C33DAE"/>
    <w:rsid w:val="00C34E57"/>
    <w:rsid w:val="00C40900"/>
    <w:rsid w:val="00C56FC4"/>
    <w:rsid w:val="00C60AB1"/>
    <w:rsid w:val="00C6625A"/>
    <w:rsid w:val="00C740D4"/>
    <w:rsid w:val="00CA6C91"/>
    <w:rsid w:val="00CB2A5E"/>
    <w:rsid w:val="00CC7DA6"/>
    <w:rsid w:val="00CD0AFC"/>
    <w:rsid w:val="00CE2AF7"/>
    <w:rsid w:val="00CE7C31"/>
    <w:rsid w:val="00CE7DA4"/>
    <w:rsid w:val="00CF08CA"/>
    <w:rsid w:val="00CF1BDA"/>
    <w:rsid w:val="00D152E7"/>
    <w:rsid w:val="00D2441F"/>
    <w:rsid w:val="00D334CE"/>
    <w:rsid w:val="00D55D38"/>
    <w:rsid w:val="00D67891"/>
    <w:rsid w:val="00D777CD"/>
    <w:rsid w:val="00D9153A"/>
    <w:rsid w:val="00D97833"/>
    <w:rsid w:val="00DA52A4"/>
    <w:rsid w:val="00DA76C5"/>
    <w:rsid w:val="00DB27C1"/>
    <w:rsid w:val="00DE2005"/>
    <w:rsid w:val="00E0283D"/>
    <w:rsid w:val="00E02EF9"/>
    <w:rsid w:val="00E03A34"/>
    <w:rsid w:val="00E04E4D"/>
    <w:rsid w:val="00E203E3"/>
    <w:rsid w:val="00E233B0"/>
    <w:rsid w:val="00E504F4"/>
    <w:rsid w:val="00E50F2B"/>
    <w:rsid w:val="00E53A00"/>
    <w:rsid w:val="00E56930"/>
    <w:rsid w:val="00E65AB9"/>
    <w:rsid w:val="00E727AC"/>
    <w:rsid w:val="00E86E69"/>
    <w:rsid w:val="00E97C83"/>
    <w:rsid w:val="00EA093D"/>
    <w:rsid w:val="00EA7434"/>
    <w:rsid w:val="00EB16AB"/>
    <w:rsid w:val="00EB3C49"/>
    <w:rsid w:val="00EC038F"/>
    <w:rsid w:val="00EC3CD9"/>
    <w:rsid w:val="00EC44BF"/>
    <w:rsid w:val="00EE2688"/>
    <w:rsid w:val="00EE7215"/>
    <w:rsid w:val="00EF3736"/>
    <w:rsid w:val="00F05A80"/>
    <w:rsid w:val="00F15ADF"/>
    <w:rsid w:val="00F15CFF"/>
    <w:rsid w:val="00F206C5"/>
    <w:rsid w:val="00F228E4"/>
    <w:rsid w:val="00F23D6D"/>
    <w:rsid w:val="00F37D6C"/>
    <w:rsid w:val="00F46EB4"/>
    <w:rsid w:val="00F653E4"/>
    <w:rsid w:val="00F67C8F"/>
    <w:rsid w:val="00F81273"/>
    <w:rsid w:val="00F813DB"/>
    <w:rsid w:val="00F9218F"/>
    <w:rsid w:val="00F9342A"/>
    <w:rsid w:val="00F96AA9"/>
    <w:rsid w:val="00FA0C88"/>
    <w:rsid w:val="00FA3F05"/>
    <w:rsid w:val="00FA67D0"/>
    <w:rsid w:val="00FA7D42"/>
    <w:rsid w:val="00FB0DFC"/>
    <w:rsid w:val="00FB4627"/>
    <w:rsid w:val="00FB5DFF"/>
    <w:rsid w:val="00FC2EBB"/>
    <w:rsid w:val="00FC4121"/>
    <w:rsid w:val="00FD06A6"/>
    <w:rsid w:val="00FD1C42"/>
    <w:rsid w:val="00FD46AF"/>
    <w:rsid w:val="00FE541C"/>
    <w:rsid w:val="00FE774C"/>
    <w:rsid w:val="00FF2A53"/>
    <w:rsid w:val="14FE3EAB"/>
    <w:rsid w:val="229AF63F"/>
    <w:rsid w:val="2CDE8989"/>
    <w:rsid w:val="3E83CAD1"/>
    <w:rsid w:val="65960EB2"/>
    <w:rsid w:val="65E2BF5B"/>
    <w:rsid w:val="71E4A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E12EE"/>
  <w15:chartTrackingRefBased/>
  <w15:docId w15:val="{E1BCA4BF-CADC-4886-AC95-453D6BA5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F5F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F9B"/>
  </w:style>
  <w:style w:type="character" w:styleId="PageNumber">
    <w:name w:val="page number"/>
    <w:basedOn w:val="DefaultParagraphFont"/>
    <w:uiPriority w:val="99"/>
    <w:semiHidden/>
    <w:unhideWhenUsed/>
    <w:rsid w:val="002F5F9B"/>
  </w:style>
  <w:style w:type="paragraph" w:styleId="Revision">
    <w:name w:val="Revision"/>
    <w:hidden/>
    <w:uiPriority w:val="99"/>
    <w:semiHidden/>
    <w:rsid w:val="00FA0C88"/>
  </w:style>
  <w:style w:type="paragraph" w:styleId="Header">
    <w:name w:val="header"/>
    <w:basedOn w:val="Normal"/>
    <w:link w:val="HeaderChar"/>
    <w:uiPriority w:val="99"/>
    <w:semiHidden/>
    <w:unhideWhenUsed/>
    <w:rsid w:val="00A777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7774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995</Words>
  <Characters>5315</Characters>
  <Application>Microsoft Office Word</Application>
  <DocSecurity>0</DocSecurity>
  <Lines>1328</Lines>
  <Paragraphs>420</Paragraphs>
  <ScaleCrop>false</ScaleCrop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Harhay, Dayna - ARS</dc:creator>
  <cp:keywords/>
  <dc:description/>
  <cp:lastModifiedBy>Katz, Tatum - ARS</cp:lastModifiedBy>
  <cp:revision>49</cp:revision>
  <cp:lastPrinted>2023-04-04T22:11:00Z</cp:lastPrinted>
  <dcterms:created xsi:type="dcterms:W3CDTF">2024-04-15T17:18:00Z</dcterms:created>
  <dcterms:modified xsi:type="dcterms:W3CDTF">2024-04-16T18:55:00Z</dcterms:modified>
</cp:coreProperties>
</file>