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7604" w14:textId="1307922D" w:rsidR="00220EFD" w:rsidRDefault="00220EFD" w:rsidP="003757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en-US"/>
        </w:rPr>
        <w:t xml:space="preserve">AUTHORS </w:t>
      </w:r>
    </w:p>
    <w:p w14:paraId="247F742F" w14:textId="223FF0EA" w:rsidR="00220EFD" w:rsidRPr="00220EFD" w:rsidRDefault="00220EFD" w:rsidP="003757A5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</w:pP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>Michela Deleidi</w:t>
      </w: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  <w:lang w:val="en-US"/>
        </w:rPr>
        <w:t>3,4</w:t>
      </w: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>, Bianca Marchetti</w:t>
      </w: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  <w:lang w:val="en-US"/>
        </w:rPr>
        <w:t>1,2</w:t>
      </w: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>, Federico Bertoli</w:t>
      </w: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  <w:lang w:val="en-US"/>
        </w:rPr>
        <w:t>3,4</w:t>
      </w: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>, Carmela Giachino</w:t>
      </w:r>
      <w:r w:rsidRPr="00220EFD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  <w:lang w:val="en-US"/>
        </w:rPr>
        <w:t>1</w:t>
      </w:r>
    </w:p>
    <w:p w14:paraId="474CC7EF" w14:textId="77777777" w:rsidR="00220EFD" w:rsidRPr="00F56CDC" w:rsidRDefault="00220EFD" w:rsidP="003757A5">
      <w:pPr>
        <w:spacing w:before="240" w:line="276" w:lineRule="auto"/>
        <w:jc w:val="both"/>
        <w:rPr>
          <w:rFonts w:ascii="Times New Roman" w:eastAsia="NotoSans-Regular" w:hAnsi="Times New Roman" w:cs="Times New Roman"/>
          <w:sz w:val="20"/>
          <w:szCs w:val="20"/>
          <w:lang w:val="en-US"/>
        </w:rPr>
      </w:pPr>
      <w:r w:rsidRPr="00F56CDC">
        <w:rPr>
          <w:rFonts w:ascii="Times New Roman" w:eastAsia="NotoSans-Regular" w:hAnsi="Times New Roman" w:cs="Times New Roman"/>
          <w:sz w:val="20"/>
          <w:szCs w:val="20"/>
          <w:vertAlign w:val="superscript"/>
          <w:lang w:val="en-US"/>
        </w:rPr>
        <w:t>1</w:t>
      </w:r>
      <w:r w:rsidRPr="00F56CDC">
        <w:rPr>
          <w:rFonts w:ascii="Times New Roman" w:eastAsia="NotoSans-Regular" w:hAnsi="Times New Roman" w:cs="Times New Roman"/>
          <w:sz w:val="20"/>
          <w:szCs w:val="20"/>
          <w:lang w:val="en-GB"/>
        </w:rPr>
        <w:t xml:space="preserve">Neuropharmacology Laboratory, </w:t>
      </w:r>
      <w:proofErr w:type="spellStart"/>
      <w:r w:rsidRPr="00F56CDC">
        <w:rPr>
          <w:rFonts w:ascii="Times New Roman" w:eastAsia="NotoSans-Regular" w:hAnsi="Times New Roman" w:cs="Times New Roman"/>
          <w:sz w:val="20"/>
          <w:szCs w:val="20"/>
          <w:lang w:val="en-GB"/>
        </w:rPr>
        <w:t>Oasi</w:t>
      </w:r>
      <w:proofErr w:type="spellEnd"/>
      <w:r w:rsidRPr="00F56CDC">
        <w:rPr>
          <w:rFonts w:ascii="Times New Roman" w:eastAsia="NotoSans-Regular" w:hAnsi="Times New Roman" w:cs="Times New Roman"/>
          <w:sz w:val="20"/>
          <w:szCs w:val="20"/>
          <w:lang w:val="en-GB"/>
        </w:rPr>
        <w:t xml:space="preserve"> Research Institute-IRCCS, </w:t>
      </w:r>
      <w:proofErr w:type="spellStart"/>
      <w:r w:rsidRPr="00F56CDC">
        <w:rPr>
          <w:rFonts w:ascii="Times New Roman" w:eastAsia="NotoSans-Regular" w:hAnsi="Times New Roman" w:cs="Times New Roman"/>
          <w:sz w:val="20"/>
          <w:szCs w:val="20"/>
          <w:lang w:val="en-GB"/>
        </w:rPr>
        <w:t>Troina</w:t>
      </w:r>
      <w:proofErr w:type="spellEnd"/>
      <w:r w:rsidRPr="00F56CDC">
        <w:rPr>
          <w:rFonts w:ascii="Times New Roman" w:eastAsia="NotoSans-Regular" w:hAnsi="Times New Roman" w:cs="Times New Roman"/>
          <w:sz w:val="20"/>
          <w:szCs w:val="20"/>
          <w:lang w:val="en-GB"/>
        </w:rPr>
        <w:t>, Italy</w:t>
      </w:r>
      <w:r w:rsidRPr="00F56CDC">
        <w:rPr>
          <w:rFonts w:ascii="Times New Roman" w:eastAsia="NotoSans-Regular" w:hAnsi="Times New Roman" w:cs="Times New Roman"/>
          <w:sz w:val="20"/>
          <w:szCs w:val="20"/>
          <w:lang w:val="en-US"/>
        </w:rPr>
        <w:t xml:space="preserve"> </w:t>
      </w:r>
    </w:p>
    <w:p w14:paraId="679F00E7" w14:textId="77777777" w:rsidR="00220EFD" w:rsidRPr="00F56CDC" w:rsidRDefault="00220EFD" w:rsidP="00220EF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56CDC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F56CDC">
        <w:rPr>
          <w:rFonts w:ascii="Times New Roman" w:hAnsi="Times New Roman" w:cs="Times New Roman"/>
          <w:sz w:val="20"/>
          <w:szCs w:val="20"/>
          <w:lang w:val="en-US"/>
        </w:rPr>
        <w:t xml:space="preserve"> Biomedical and Biotechnological Sciences, Pharmacology Section, University of Catania-Italy</w:t>
      </w:r>
    </w:p>
    <w:p w14:paraId="284056C0" w14:textId="0A7075D7" w:rsidR="00220EFD" w:rsidRDefault="00220EFD" w:rsidP="00220EF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56CDC">
        <w:rPr>
          <w:rFonts w:ascii="Times New Roman" w:eastAsia="NotoSans-Regular" w:hAnsi="Times New Roman" w:cs="Times New Roman"/>
          <w:sz w:val="20"/>
          <w:szCs w:val="20"/>
          <w:vertAlign w:val="superscript"/>
          <w:lang w:val="en-US"/>
        </w:rPr>
        <w:t xml:space="preserve">3 </w:t>
      </w:r>
      <w:r w:rsidRPr="00F56CDC">
        <w:rPr>
          <w:rFonts w:ascii="Times New Roman" w:hAnsi="Times New Roman" w:cs="Times New Roman"/>
          <w:sz w:val="20"/>
          <w:szCs w:val="20"/>
          <w:lang w:val="en-US"/>
        </w:rPr>
        <w:t>Mitochondria and Inflammation in Neurodegenerative Diseases, DZNE, Tübingen-Germany</w:t>
      </w:r>
    </w:p>
    <w:p w14:paraId="6372D564" w14:textId="049903FC" w:rsidR="00220EFD" w:rsidRDefault="00220EFD" w:rsidP="00220EF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56CDC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4 </w:t>
      </w:r>
      <w:proofErr w:type="spellStart"/>
      <w:r w:rsidRPr="00F56CDC">
        <w:rPr>
          <w:rFonts w:ascii="Times New Roman" w:hAnsi="Times New Roman" w:cs="Times New Roman"/>
          <w:sz w:val="20"/>
          <w:szCs w:val="20"/>
          <w:lang w:val="en-US"/>
        </w:rPr>
        <w:t>Hertie</w:t>
      </w:r>
      <w:proofErr w:type="spellEnd"/>
      <w:r w:rsidRPr="00F56CDC">
        <w:rPr>
          <w:rFonts w:ascii="Times New Roman" w:hAnsi="Times New Roman" w:cs="Times New Roman"/>
          <w:sz w:val="20"/>
          <w:szCs w:val="20"/>
          <w:lang w:val="en-US"/>
        </w:rPr>
        <w:t xml:space="preserve"> Institute for Clinical Brain Research, University of Tübingen</w:t>
      </w:r>
    </w:p>
    <w:p w14:paraId="7D3A7C30" w14:textId="77777777" w:rsidR="00220EFD" w:rsidRPr="00220EFD" w:rsidRDefault="00220EFD" w:rsidP="00220EF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7A04A03" w14:textId="7537B0FA" w:rsidR="00220EFD" w:rsidRDefault="00220EFD" w:rsidP="00220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en-US"/>
        </w:rPr>
        <w:t>ABSTRACT</w:t>
      </w:r>
    </w:p>
    <w:p w14:paraId="748D53FD" w14:textId="00749057" w:rsidR="00BD301E" w:rsidRPr="00BD301E" w:rsidRDefault="00BD301E" w:rsidP="00220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</w:pPr>
      <w:r w:rsidRPr="00BD301E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 xml:space="preserve">RT-PCR is a technique to 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>quantify</w:t>
      </w:r>
      <w:r w:rsidRPr="00BD301E"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 xml:space="preserve"> gene expression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  <w:t xml:space="preserve"> in samples </w:t>
      </w:r>
    </w:p>
    <w:p w14:paraId="62F72052" w14:textId="77777777" w:rsidR="002F2F1E" w:rsidRPr="002F2F1E" w:rsidRDefault="002F2F1E" w:rsidP="00220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:lang w:val="en-US"/>
        </w:rPr>
      </w:pPr>
    </w:p>
    <w:p w14:paraId="6214A679" w14:textId="3D9FC9C6" w:rsidR="00220EFD" w:rsidRDefault="00220EFD" w:rsidP="00220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  <w:lang w:val="en-US"/>
        </w:rPr>
        <w:t>PROTOCOL</w:t>
      </w:r>
    </w:p>
    <w:p w14:paraId="55CFAD83" w14:textId="3E6E6876" w:rsidR="009804F7" w:rsidRPr="00FF68A9" w:rsidRDefault="009804F7" w:rsidP="009804F7">
      <w:pPr>
        <w:tabs>
          <w:tab w:val="left" w:pos="0"/>
          <w:tab w:val="left" w:pos="360"/>
          <w:tab w:val="left" w:pos="9180"/>
        </w:tabs>
        <w:spacing w:line="360" w:lineRule="auto"/>
        <w:ind w:right="278"/>
        <w:jc w:val="both"/>
        <w:outlineLvl w:val="0"/>
        <w:rPr>
          <w:sz w:val="20"/>
          <w:szCs w:val="20"/>
          <w:lang w:val="en-GB"/>
        </w:rPr>
      </w:pPr>
      <w:r w:rsidRPr="00FF68A9">
        <w:rPr>
          <w:sz w:val="20"/>
          <w:szCs w:val="20"/>
          <w:lang w:val="en-GB"/>
        </w:rPr>
        <w:t xml:space="preserve">Gene expression was performed on tissue samples of the ventral midbrain (containing the substantia nigra pars compacta, </w:t>
      </w:r>
      <w:proofErr w:type="spellStart"/>
      <w:r w:rsidRPr="00FF68A9">
        <w:rPr>
          <w:sz w:val="20"/>
          <w:szCs w:val="20"/>
          <w:lang w:val="en-GB"/>
        </w:rPr>
        <w:t>SNpc</w:t>
      </w:r>
      <w:proofErr w:type="spellEnd"/>
      <w:r w:rsidRPr="00FF68A9">
        <w:rPr>
          <w:sz w:val="20"/>
          <w:szCs w:val="20"/>
          <w:lang w:val="en-GB"/>
        </w:rPr>
        <w:t>)</w:t>
      </w:r>
      <w:r>
        <w:rPr>
          <w:sz w:val="20"/>
          <w:szCs w:val="20"/>
          <w:lang w:val="en-GB"/>
        </w:rPr>
        <w:t>.</w:t>
      </w:r>
    </w:p>
    <w:p w14:paraId="1B4063B8" w14:textId="77777777" w:rsidR="009804F7" w:rsidRPr="00FF68A9" w:rsidRDefault="009804F7" w:rsidP="009804F7">
      <w:pPr>
        <w:tabs>
          <w:tab w:val="left" w:pos="0"/>
          <w:tab w:val="left" w:pos="360"/>
          <w:tab w:val="left" w:pos="9180"/>
        </w:tabs>
        <w:spacing w:line="360" w:lineRule="auto"/>
        <w:ind w:right="278"/>
        <w:jc w:val="both"/>
        <w:outlineLvl w:val="0"/>
        <w:rPr>
          <w:b/>
          <w:i/>
          <w:sz w:val="20"/>
          <w:szCs w:val="20"/>
          <w:lang w:val="en-US"/>
        </w:rPr>
      </w:pPr>
      <w:r w:rsidRPr="00FF68A9">
        <w:rPr>
          <w:b/>
          <w:i/>
          <w:sz w:val="20"/>
          <w:szCs w:val="20"/>
          <w:lang w:val="en-US"/>
        </w:rPr>
        <w:t>RNA Extraction</w:t>
      </w:r>
    </w:p>
    <w:p w14:paraId="103E3741" w14:textId="77777777" w:rsidR="009804F7" w:rsidRPr="00FF68A9" w:rsidRDefault="009804F7" w:rsidP="009804F7">
      <w:pPr>
        <w:tabs>
          <w:tab w:val="left" w:pos="0"/>
          <w:tab w:val="left" w:pos="360"/>
          <w:tab w:val="left" w:pos="9180"/>
        </w:tabs>
        <w:spacing w:line="360" w:lineRule="auto"/>
        <w:ind w:right="278"/>
        <w:jc w:val="both"/>
        <w:outlineLvl w:val="0"/>
        <w:rPr>
          <w:sz w:val="20"/>
          <w:szCs w:val="20"/>
          <w:lang w:val="en-GB"/>
        </w:rPr>
      </w:pPr>
      <w:r w:rsidRPr="00FF68A9">
        <w:rPr>
          <w:sz w:val="20"/>
          <w:szCs w:val="20"/>
          <w:lang w:val="en-GB"/>
        </w:rPr>
        <w:t xml:space="preserve">At due time points, tissue samples were homogenized in 1ml of </w:t>
      </w:r>
      <w:proofErr w:type="spellStart"/>
      <w:r w:rsidRPr="00FF68A9">
        <w:rPr>
          <w:sz w:val="20"/>
          <w:szCs w:val="20"/>
          <w:lang w:val="en-GB"/>
        </w:rPr>
        <w:t>QIAzol</w:t>
      </w:r>
      <w:proofErr w:type="spellEnd"/>
      <w:r w:rsidRPr="00FF68A9">
        <w:rPr>
          <w:sz w:val="20"/>
          <w:szCs w:val="20"/>
          <w:lang w:val="en-GB"/>
        </w:rPr>
        <w:t xml:space="preserve"> Lysis Reagent (Qiagen, #79306) using a rotor-stator homogenizer. Total RNA was isolated from homogenized tissue samples using RNeasy Lipid Tissue Kit (Qiagen, #74804) including </w:t>
      </w:r>
      <w:proofErr w:type="spellStart"/>
      <w:r w:rsidRPr="00FF68A9">
        <w:rPr>
          <w:sz w:val="20"/>
          <w:szCs w:val="20"/>
          <w:lang w:val="en-GB"/>
        </w:rPr>
        <w:t>Dnase</w:t>
      </w:r>
      <w:proofErr w:type="spellEnd"/>
      <w:r w:rsidRPr="00FF68A9">
        <w:rPr>
          <w:sz w:val="20"/>
          <w:szCs w:val="20"/>
          <w:lang w:val="en-GB"/>
        </w:rPr>
        <w:t xml:space="preserve"> digestion. At the end, RNA samples were redissolved in 30 </w:t>
      </w:r>
      <w:proofErr w:type="spellStart"/>
      <w:r w:rsidRPr="00FF68A9">
        <w:rPr>
          <w:sz w:val="20"/>
          <w:szCs w:val="20"/>
          <w:lang w:val="en-GB"/>
        </w:rPr>
        <w:t>μl</w:t>
      </w:r>
      <w:proofErr w:type="spellEnd"/>
      <w:r w:rsidRPr="00FF68A9">
        <w:rPr>
          <w:sz w:val="20"/>
          <w:szCs w:val="20"/>
          <w:lang w:val="en-GB"/>
        </w:rPr>
        <w:t xml:space="preserve"> of RNase-free water and their concentrations were </w:t>
      </w:r>
      <w:proofErr w:type="spellStart"/>
      <w:r w:rsidRPr="00FF68A9">
        <w:rPr>
          <w:sz w:val="20"/>
          <w:szCs w:val="20"/>
          <w:lang w:val="en-GB"/>
        </w:rPr>
        <w:t>determinated</w:t>
      </w:r>
      <w:proofErr w:type="spellEnd"/>
      <w:r w:rsidRPr="00FF68A9">
        <w:rPr>
          <w:sz w:val="20"/>
          <w:szCs w:val="20"/>
          <w:lang w:val="en-GB"/>
        </w:rPr>
        <w:t xml:space="preserve"> spectrophotometrically by A</w:t>
      </w:r>
      <w:r w:rsidRPr="00FF68A9">
        <w:rPr>
          <w:sz w:val="20"/>
          <w:szCs w:val="20"/>
          <w:vertAlign w:val="subscript"/>
          <w:lang w:val="en-GB"/>
        </w:rPr>
        <w:t>260</w:t>
      </w:r>
      <w:r w:rsidRPr="00FF68A9">
        <w:rPr>
          <w:sz w:val="20"/>
          <w:szCs w:val="20"/>
          <w:lang w:val="en-GB"/>
        </w:rPr>
        <w:t xml:space="preserve"> (Nanodrop-ND 1000). </w:t>
      </w:r>
    </w:p>
    <w:p w14:paraId="3DDA6EF0" w14:textId="77777777" w:rsidR="009804F7" w:rsidRPr="00FF68A9" w:rsidRDefault="009804F7" w:rsidP="009804F7">
      <w:pPr>
        <w:tabs>
          <w:tab w:val="left" w:pos="0"/>
          <w:tab w:val="left" w:pos="360"/>
          <w:tab w:val="left" w:pos="9180"/>
        </w:tabs>
        <w:spacing w:line="360" w:lineRule="auto"/>
        <w:ind w:right="278"/>
        <w:jc w:val="both"/>
        <w:outlineLvl w:val="0"/>
        <w:rPr>
          <w:b/>
          <w:i/>
          <w:sz w:val="20"/>
          <w:szCs w:val="20"/>
          <w:lang w:val="en-US"/>
        </w:rPr>
      </w:pPr>
      <w:r w:rsidRPr="00FF68A9">
        <w:rPr>
          <w:b/>
          <w:i/>
          <w:sz w:val="20"/>
          <w:szCs w:val="20"/>
          <w:lang w:val="en-US"/>
        </w:rPr>
        <w:t>Reverse Transcription</w:t>
      </w:r>
    </w:p>
    <w:p w14:paraId="7FDEBB1C" w14:textId="77777777" w:rsidR="009804F7" w:rsidRPr="00FF68A9" w:rsidRDefault="009804F7" w:rsidP="009804F7">
      <w:pPr>
        <w:tabs>
          <w:tab w:val="left" w:pos="0"/>
          <w:tab w:val="left" w:pos="360"/>
          <w:tab w:val="left" w:pos="9180"/>
        </w:tabs>
        <w:spacing w:line="360" w:lineRule="auto"/>
        <w:ind w:right="278"/>
        <w:jc w:val="both"/>
        <w:outlineLvl w:val="0"/>
        <w:rPr>
          <w:strike/>
          <w:sz w:val="20"/>
          <w:szCs w:val="20"/>
          <w:lang w:val="en-GB"/>
        </w:rPr>
      </w:pPr>
      <w:r w:rsidRPr="00FF68A9">
        <w:rPr>
          <w:sz w:val="20"/>
          <w:szCs w:val="20"/>
          <w:lang w:val="en-GB"/>
        </w:rPr>
        <w:t xml:space="preserve">cDNA synthesis </w:t>
      </w:r>
      <w:proofErr w:type="gramStart"/>
      <w:r w:rsidRPr="00FF68A9">
        <w:rPr>
          <w:sz w:val="20"/>
          <w:szCs w:val="20"/>
          <w:lang w:val="en-GB"/>
        </w:rPr>
        <w:t>were</w:t>
      </w:r>
      <w:proofErr w:type="gramEnd"/>
      <w:r w:rsidRPr="00FF68A9">
        <w:rPr>
          <w:sz w:val="20"/>
          <w:szCs w:val="20"/>
          <w:lang w:val="en-GB"/>
        </w:rPr>
        <w:t xml:space="preserve"> performed using </w:t>
      </w:r>
      <w:proofErr w:type="spellStart"/>
      <w:r w:rsidRPr="00FF68A9">
        <w:rPr>
          <w:sz w:val="20"/>
          <w:szCs w:val="20"/>
          <w:lang w:val="en-GB"/>
        </w:rPr>
        <w:t>Retroscript</w:t>
      </w:r>
      <w:proofErr w:type="spellEnd"/>
      <w:r w:rsidRPr="00FF68A9">
        <w:rPr>
          <w:sz w:val="20"/>
          <w:szCs w:val="20"/>
          <w:lang w:val="en-GB"/>
        </w:rPr>
        <w:t xml:space="preserve"> Kit (</w:t>
      </w:r>
      <w:proofErr w:type="spellStart"/>
      <w:r w:rsidRPr="00FF68A9">
        <w:rPr>
          <w:sz w:val="20"/>
          <w:szCs w:val="20"/>
          <w:lang w:val="en-GB"/>
        </w:rPr>
        <w:t>Ambion</w:t>
      </w:r>
      <w:proofErr w:type="spellEnd"/>
      <w:r w:rsidRPr="00FF68A9">
        <w:rPr>
          <w:sz w:val="20"/>
          <w:szCs w:val="20"/>
          <w:lang w:val="en-GB"/>
        </w:rPr>
        <w:t xml:space="preserve"> #1710, Austin, Texas) according the manufacturer’s instructions. 50 </w:t>
      </w:r>
      <w:proofErr w:type="spellStart"/>
      <w:r w:rsidRPr="00FF68A9">
        <w:rPr>
          <w:sz w:val="20"/>
          <w:szCs w:val="20"/>
          <w:lang w:val="en-GB"/>
        </w:rPr>
        <w:t>μl</w:t>
      </w:r>
      <w:proofErr w:type="spellEnd"/>
      <w:r w:rsidRPr="00FF68A9">
        <w:rPr>
          <w:sz w:val="20"/>
          <w:szCs w:val="20"/>
          <w:lang w:val="en-GB"/>
        </w:rPr>
        <w:t xml:space="preserve"> of water solution containing 0.5 </w:t>
      </w:r>
      <w:proofErr w:type="spellStart"/>
      <w:r w:rsidRPr="00FF68A9">
        <w:rPr>
          <w:sz w:val="20"/>
          <w:szCs w:val="20"/>
          <w:lang w:val="en-GB"/>
        </w:rPr>
        <w:t>μg</w:t>
      </w:r>
      <w:proofErr w:type="spellEnd"/>
      <w:r w:rsidRPr="00FF68A9">
        <w:rPr>
          <w:sz w:val="20"/>
          <w:szCs w:val="20"/>
          <w:lang w:val="en-GB"/>
        </w:rPr>
        <w:t xml:space="preserve"> of each pool were added to an equal volume of 2X TaqMan Universal PCR </w:t>
      </w:r>
      <w:proofErr w:type="spellStart"/>
      <w:r w:rsidRPr="00FF68A9">
        <w:rPr>
          <w:sz w:val="20"/>
          <w:szCs w:val="20"/>
          <w:lang w:val="en-GB"/>
        </w:rPr>
        <w:t>Mastrer</w:t>
      </w:r>
      <w:proofErr w:type="spellEnd"/>
      <w:r w:rsidRPr="00FF68A9">
        <w:rPr>
          <w:sz w:val="20"/>
          <w:szCs w:val="20"/>
          <w:lang w:val="en-GB"/>
        </w:rPr>
        <w:t xml:space="preserve"> Mix (Applied Biosystems). </w:t>
      </w:r>
    </w:p>
    <w:p w14:paraId="1EBD1DC8" w14:textId="77777777" w:rsidR="009804F7" w:rsidRPr="00C42ACE" w:rsidRDefault="009804F7" w:rsidP="009804F7">
      <w:pPr>
        <w:tabs>
          <w:tab w:val="left" w:pos="0"/>
          <w:tab w:val="left" w:pos="360"/>
          <w:tab w:val="left" w:pos="9180"/>
        </w:tabs>
        <w:spacing w:line="360" w:lineRule="auto"/>
        <w:ind w:right="278"/>
        <w:jc w:val="both"/>
        <w:outlineLvl w:val="0"/>
        <w:rPr>
          <w:b/>
          <w:i/>
          <w:sz w:val="20"/>
          <w:szCs w:val="20"/>
          <w:lang w:val="en-GB"/>
        </w:rPr>
      </w:pPr>
      <w:r w:rsidRPr="00C42ACE">
        <w:rPr>
          <w:b/>
          <w:i/>
          <w:sz w:val="20"/>
          <w:szCs w:val="20"/>
          <w:lang w:val="en-GB"/>
        </w:rPr>
        <w:t>Real Time PCR</w:t>
      </w:r>
    </w:p>
    <w:p w14:paraId="582C37D4" w14:textId="430582F1" w:rsidR="009804F7" w:rsidRDefault="009804F7" w:rsidP="009804F7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en-GB"/>
        </w:rPr>
      </w:pPr>
      <w:r w:rsidRPr="00FF68A9">
        <w:rPr>
          <w:sz w:val="20"/>
          <w:szCs w:val="20"/>
          <w:lang w:val="en-GB"/>
        </w:rPr>
        <w:t xml:space="preserve">Real-time quantitative PCR was performed using </w:t>
      </w:r>
      <w:proofErr w:type="spellStart"/>
      <w:r w:rsidRPr="00FF68A9">
        <w:rPr>
          <w:sz w:val="20"/>
          <w:szCs w:val="20"/>
          <w:lang w:val="en-GB"/>
        </w:rPr>
        <w:t>Taqman</w:t>
      </w:r>
      <w:r w:rsidRPr="00FF68A9">
        <w:rPr>
          <w:sz w:val="20"/>
          <w:szCs w:val="20"/>
          <w:vertAlign w:val="superscript"/>
          <w:lang w:val="en-GB"/>
        </w:rPr>
        <w:t>TM</w:t>
      </w:r>
      <w:r w:rsidRPr="00FF68A9">
        <w:rPr>
          <w:sz w:val="20"/>
          <w:szCs w:val="20"/>
          <w:lang w:val="en-GB"/>
        </w:rPr>
        <w:t>Assay</w:t>
      </w:r>
      <w:proofErr w:type="spellEnd"/>
      <w:r w:rsidRPr="00FF68A9">
        <w:rPr>
          <w:sz w:val="20"/>
          <w:szCs w:val="20"/>
          <w:lang w:val="en-GB"/>
        </w:rPr>
        <w:t xml:space="preserve"> Reagents on </w:t>
      </w:r>
      <w:proofErr w:type="gramStart"/>
      <w:r w:rsidRPr="00FF68A9">
        <w:rPr>
          <w:sz w:val="20"/>
          <w:szCs w:val="20"/>
          <w:lang w:val="en-GB"/>
        </w:rPr>
        <w:t>an</w:t>
      </w:r>
      <w:proofErr w:type="gramEnd"/>
      <w:r w:rsidRPr="00FF68A9">
        <w:rPr>
          <w:sz w:val="20"/>
          <w:szCs w:val="20"/>
          <w:lang w:val="en-GB"/>
        </w:rPr>
        <w:t xml:space="preserve"> Step One Detection System (Applied Biosystems) according to manufactures protocol. Tissue samples were processed as above. Cell samples were lysed in lysis buffer (Qiagen) and stored at -80°C until the RNA was extracted following </w:t>
      </w:r>
      <w:proofErr w:type="spellStart"/>
      <w:r w:rsidRPr="00FF68A9">
        <w:rPr>
          <w:sz w:val="20"/>
          <w:szCs w:val="20"/>
          <w:lang w:val="en-GB"/>
        </w:rPr>
        <w:t>manufacture’s</w:t>
      </w:r>
      <w:proofErr w:type="spellEnd"/>
      <w:r w:rsidRPr="00FF68A9">
        <w:rPr>
          <w:sz w:val="20"/>
          <w:szCs w:val="20"/>
          <w:lang w:val="en-GB"/>
        </w:rPr>
        <w:t xml:space="preserve"> instructions. Residual genomic DNA was removed by incubating with DNase I, RNase-free (Qiagen) and eluted from the RNeasy mini columns with RNase-free water. The amount of total RNA was quantified using a </w:t>
      </w:r>
      <w:proofErr w:type="spellStart"/>
      <w:r w:rsidRPr="00FF68A9">
        <w:rPr>
          <w:sz w:val="20"/>
          <w:szCs w:val="20"/>
          <w:lang w:val="en-GB"/>
        </w:rPr>
        <w:t>NanoDrop</w:t>
      </w:r>
      <w:proofErr w:type="spellEnd"/>
      <w:r w:rsidRPr="00FF68A9">
        <w:rPr>
          <w:sz w:val="20"/>
          <w:szCs w:val="20"/>
          <w:lang w:val="en-GB"/>
        </w:rPr>
        <w:t xml:space="preserve"> ND-100 (Nano Drop Technologies) and the cDNA was synthesized from 2 </w:t>
      </w:r>
      <w:proofErr w:type="spellStart"/>
      <w:r w:rsidRPr="00FF68A9">
        <w:rPr>
          <w:sz w:val="20"/>
          <w:szCs w:val="20"/>
          <w:lang w:val="en-GB"/>
        </w:rPr>
        <w:t>μg</w:t>
      </w:r>
      <w:proofErr w:type="spellEnd"/>
      <w:r w:rsidRPr="00FF68A9">
        <w:rPr>
          <w:sz w:val="20"/>
          <w:szCs w:val="20"/>
          <w:lang w:val="en-GB"/>
        </w:rPr>
        <w:t xml:space="preserve"> of total RNA using the </w:t>
      </w:r>
      <w:proofErr w:type="spellStart"/>
      <w:r w:rsidRPr="00FF68A9">
        <w:rPr>
          <w:sz w:val="20"/>
          <w:szCs w:val="20"/>
          <w:lang w:val="en-GB"/>
        </w:rPr>
        <w:t>Retroscript</w:t>
      </w:r>
      <w:proofErr w:type="spellEnd"/>
      <w:r w:rsidRPr="00FF68A9">
        <w:rPr>
          <w:sz w:val="20"/>
          <w:szCs w:val="20"/>
          <w:lang w:val="en-GB"/>
        </w:rPr>
        <w:t xml:space="preserve"> Kit (</w:t>
      </w:r>
      <w:proofErr w:type="spellStart"/>
      <w:r w:rsidRPr="00FF68A9">
        <w:rPr>
          <w:sz w:val="20"/>
          <w:szCs w:val="20"/>
          <w:lang w:val="en-GB"/>
        </w:rPr>
        <w:t>Ambion</w:t>
      </w:r>
      <w:proofErr w:type="spellEnd"/>
      <w:r w:rsidRPr="00FF68A9">
        <w:rPr>
          <w:sz w:val="20"/>
          <w:szCs w:val="20"/>
          <w:lang w:val="en-GB"/>
        </w:rPr>
        <w:t xml:space="preserve">). After purification using </w:t>
      </w:r>
      <w:proofErr w:type="spellStart"/>
      <w:r w:rsidRPr="00FF68A9">
        <w:rPr>
          <w:sz w:val="20"/>
          <w:szCs w:val="20"/>
          <w:lang w:val="en-GB"/>
        </w:rPr>
        <w:t>QIAquick</w:t>
      </w:r>
      <w:proofErr w:type="spellEnd"/>
      <w:r w:rsidRPr="00FF68A9">
        <w:rPr>
          <w:sz w:val="20"/>
          <w:szCs w:val="20"/>
          <w:lang w:val="en-GB"/>
        </w:rPr>
        <w:t xml:space="preserve"> PCR Purification kit (Qiagen), 250 ng of cDNA were used for Real-time PCR using pre-developed </w:t>
      </w:r>
      <w:proofErr w:type="spellStart"/>
      <w:r w:rsidRPr="00FF68A9">
        <w:rPr>
          <w:sz w:val="20"/>
          <w:szCs w:val="20"/>
          <w:lang w:val="en-GB"/>
        </w:rPr>
        <w:t>Taqman</w:t>
      </w:r>
      <w:proofErr w:type="spellEnd"/>
      <w:r w:rsidRPr="00FF68A9">
        <w:rPr>
          <w:sz w:val="20"/>
          <w:szCs w:val="20"/>
          <w:lang w:val="en-GB"/>
        </w:rPr>
        <w:t xml:space="preserve"> Assay Reagents (Applied Biosystems). Real-time quantitative PCR was performed with Step One Detection System (Applied Biosystems) according to manufacturer protocol. We used the housekeeping gene, β-actin, as normalizer and </w:t>
      </w:r>
      <w:proofErr w:type="spellStart"/>
      <w:r w:rsidRPr="00FF68A9">
        <w:rPr>
          <w:sz w:val="20"/>
          <w:szCs w:val="20"/>
          <w:lang w:val="en-GB"/>
        </w:rPr>
        <w:t>embrionic</w:t>
      </w:r>
      <w:proofErr w:type="spellEnd"/>
      <w:r w:rsidRPr="00FF68A9">
        <w:rPr>
          <w:sz w:val="20"/>
          <w:szCs w:val="20"/>
          <w:lang w:val="en-GB"/>
        </w:rPr>
        <w:t xml:space="preserve"> mouse brain as </w:t>
      </w:r>
      <w:r w:rsidRPr="00FF68A9">
        <w:rPr>
          <w:sz w:val="20"/>
          <w:szCs w:val="20"/>
          <w:lang w:val="en-GB"/>
        </w:rPr>
        <w:lastRenderedPageBreak/>
        <w:t xml:space="preserve">calibrator. Quantification of the abundance of target gene expression was determined relative to β-actin with respect to the control group by using the delta </w:t>
      </w:r>
      <w:proofErr w:type="spellStart"/>
      <w:r w:rsidRPr="00FF68A9">
        <w:rPr>
          <w:sz w:val="20"/>
          <w:szCs w:val="20"/>
          <w:lang w:val="en-GB"/>
        </w:rPr>
        <w:t>delta</w:t>
      </w:r>
      <w:proofErr w:type="spellEnd"/>
      <w:r w:rsidRPr="00FF68A9">
        <w:rPr>
          <w:sz w:val="20"/>
          <w:szCs w:val="20"/>
          <w:lang w:val="en-GB"/>
        </w:rPr>
        <w:t xml:space="preserve"> C</w:t>
      </w:r>
      <w:r w:rsidRPr="00FF68A9">
        <w:rPr>
          <w:sz w:val="20"/>
          <w:szCs w:val="20"/>
          <w:vertAlign w:val="subscript"/>
          <w:lang w:val="en-GB"/>
        </w:rPr>
        <w:t>t</w:t>
      </w:r>
      <w:r w:rsidRPr="00FF68A9">
        <w:rPr>
          <w:sz w:val="20"/>
          <w:szCs w:val="20"/>
          <w:lang w:val="en-GB"/>
        </w:rPr>
        <w:t xml:space="preserve"> (2</w:t>
      </w:r>
      <w:r w:rsidRPr="00FF68A9">
        <w:rPr>
          <w:sz w:val="20"/>
          <w:szCs w:val="20"/>
          <w:vertAlign w:val="superscript"/>
          <w:lang w:val="en-GB"/>
        </w:rPr>
        <w:t>-ΔΔCt</w:t>
      </w:r>
      <w:r w:rsidRPr="00FF68A9">
        <w:rPr>
          <w:sz w:val="20"/>
          <w:szCs w:val="20"/>
          <w:lang w:val="en-GB"/>
        </w:rPr>
        <w:t>) comparative method, the results expressed as arbitrary units (AU). Relative fold changes over WT in the respective treatment groups are indicated.</w:t>
      </w:r>
    </w:p>
    <w:p w14:paraId="41FBD349" w14:textId="77777777" w:rsidR="000F7C25" w:rsidRDefault="000F7C25"/>
    <w:sectPr w:rsidR="000F7C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Sans-Regular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FD"/>
    <w:rsid w:val="000F7C25"/>
    <w:rsid w:val="00220EFD"/>
    <w:rsid w:val="00254E4C"/>
    <w:rsid w:val="002F2F1E"/>
    <w:rsid w:val="003757A5"/>
    <w:rsid w:val="00412950"/>
    <w:rsid w:val="004F037B"/>
    <w:rsid w:val="00850138"/>
    <w:rsid w:val="009410B5"/>
    <w:rsid w:val="00950178"/>
    <w:rsid w:val="009804F7"/>
    <w:rsid w:val="009C45C3"/>
    <w:rsid w:val="00AA1D2A"/>
    <w:rsid w:val="00AF5BCB"/>
    <w:rsid w:val="00BD301E"/>
    <w:rsid w:val="00E631C7"/>
    <w:rsid w:val="00EC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17B8D"/>
  <w15:chartTrackingRefBased/>
  <w15:docId w15:val="{0AFB3BF5-374A-4511-B6E1-ACD4A7BF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EFD"/>
    <w:rPr>
      <w:kern w:val="0"/>
      <w:lang w:val="it-IT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Giachino</dc:creator>
  <cp:keywords/>
  <dc:description/>
  <cp:lastModifiedBy>Carmela Giachino</cp:lastModifiedBy>
  <cp:revision>14</cp:revision>
  <dcterms:created xsi:type="dcterms:W3CDTF">2023-03-24T14:50:00Z</dcterms:created>
  <dcterms:modified xsi:type="dcterms:W3CDTF">2023-03-24T16:48:00Z</dcterms:modified>
</cp:coreProperties>
</file>