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5714D" w14:textId="20A7BC7E" w:rsidR="00A74C6C" w:rsidRDefault="00A74C6C" w:rsidP="004A78BB">
      <w:pPr>
        <w:pStyle w:val="Heading1"/>
      </w:pPr>
      <w:r>
        <w:t>Cataloguing information</w:t>
      </w:r>
    </w:p>
    <w:p w14:paraId="01267ED5" w14:textId="0D881D5A" w:rsidR="00E2413E" w:rsidRDefault="00E2413E" w:rsidP="000F396D">
      <w:pPr>
        <w:pStyle w:val="Heading3"/>
      </w:pPr>
      <w:r>
        <w:t>Title</w:t>
      </w:r>
    </w:p>
    <w:p w14:paraId="39DAAD42" w14:textId="219CCC8C" w:rsidR="00F53B74" w:rsidRPr="00F53B74" w:rsidRDefault="00004D14" w:rsidP="00F53B74">
      <w:r>
        <w:t>Treatment</w:t>
      </w:r>
      <w:r w:rsidR="00E50976">
        <w:t xml:space="preserve"> and staining of iPSC-derived neurons for lysosomal phenotype analysis</w:t>
      </w:r>
      <w:r w:rsidR="00DE6C2C">
        <w:t>.</w:t>
      </w:r>
      <w:r w:rsidR="00E50976">
        <w:t xml:space="preserve"> </w:t>
      </w:r>
    </w:p>
    <w:p w14:paraId="64D1D65C" w14:textId="4534BEF1" w:rsidR="00E2413E" w:rsidRDefault="00E2413E" w:rsidP="000F396D">
      <w:pPr>
        <w:pStyle w:val="Heading3"/>
      </w:pPr>
      <w:r>
        <w:t>Description</w:t>
      </w:r>
      <w:r w:rsidR="00A74C6C">
        <w:t xml:space="preserve"> (min 150 words)</w:t>
      </w:r>
    </w:p>
    <w:p w14:paraId="658B0C4D" w14:textId="49A4A535" w:rsidR="00174E63" w:rsidRDefault="001D5FD4">
      <w:r>
        <w:t xml:space="preserve">This protocol describes </w:t>
      </w:r>
      <w:r>
        <w:t xml:space="preserve">the preparation and treatment of neuronal cultures to be imaged for its analysis using </w:t>
      </w:r>
      <w:r>
        <w:t xml:space="preserve">the Opera </w:t>
      </w:r>
      <w:proofErr w:type="spellStart"/>
      <w:r>
        <w:t>Phenix</w:t>
      </w:r>
      <w:proofErr w:type="spellEnd"/>
      <w:r>
        <w:t xml:space="preserve"> high-content screening system</w:t>
      </w:r>
      <w:r>
        <w:t>.</w:t>
      </w:r>
      <w:r>
        <w:t xml:space="preserve"> This includes </w:t>
      </w:r>
      <w:r>
        <w:t xml:space="preserve">the preparation </w:t>
      </w:r>
      <w:r w:rsidR="005B5FB2">
        <w:t>of the cultures and its treatment to stain</w:t>
      </w:r>
      <w:r>
        <w:t xml:space="preserve"> Lysosomes </w:t>
      </w:r>
      <w:r w:rsidR="005B5FB2">
        <w:t xml:space="preserve">using a lysosome staining reagent, the treatment with DQ-red BSA to analyse lysosomal activity and the fixation and staining of the autophagic markers P62 and LC3 </w:t>
      </w:r>
      <w:r w:rsidR="005B5FB2">
        <w:t>in the presence and absence of the autophagy-lysosomal pathway inhibitor Bafilomycin A1</w:t>
      </w:r>
      <w:r w:rsidR="005B5FB2">
        <w:t>.</w:t>
      </w:r>
      <w:r w:rsidR="005B5FB2" w:rsidRPr="005B5FB2">
        <w:t xml:space="preserve"> </w:t>
      </w:r>
      <w:r w:rsidR="005B5FB2">
        <w:t>Quantification of autophagy measures or autophagy flux in the presence and absence of bafilomycin A1 treatment offers a dynamic readout of the autophagy state that cannot be captured otherwise in immunostaining and western blot experiments</w:t>
      </w:r>
      <w:r>
        <w:t xml:space="preserve">. The aim of this protocol is to </w:t>
      </w:r>
      <w:r w:rsidR="005B5FB2">
        <w:t xml:space="preserve">provide a guideline for </w:t>
      </w:r>
      <w:r w:rsidR="00174E63">
        <w:t xml:space="preserve">stain and image any cell line for its analysis using a high content imaging system, allowing the process of large number of conditions/cell lines for the measurement of lysosomal and </w:t>
      </w:r>
      <w:proofErr w:type="spellStart"/>
      <w:r w:rsidR="00174E63">
        <w:t>autophagosomal</w:t>
      </w:r>
      <w:proofErr w:type="spellEnd"/>
      <w:r w:rsidR="00174E63">
        <w:t xml:space="preserve"> phenotypes.</w:t>
      </w:r>
    </w:p>
    <w:p w14:paraId="33987470" w14:textId="022DD6F7" w:rsidR="00E2413E" w:rsidRDefault="00E2413E" w:rsidP="000F396D">
      <w:pPr>
        <w:pStyle w:val="Heading3"/>
      </w:pPr>
      <w:r>
        <w:t>Has this output been funded by ASAP?</w:t>
      </w:r>
    </w:p>
    <w:p w14:paraId="64049DA5" w14:textId="6E5A3476" w:rsidR="00E2413E" w:rsidRDefault="00DE6C2C">
      <w:r>
        <w:t>Yes</w:t>
      </w:r>
    </w:p>
    <w:p w14:paraId="23BD362F" w14:textId="3E6A6F75" w:rsidR="00E2413E" w:rsidRDefault="00E2413E" w:rsidP="000F396D">
      <w:pPr>
        <w:pStyle w:val="Heading3"/>
      </w:pPr>
      <w:r>
        <w:t>Has this output been used in a publication?</w:t>
      </w:r>
    </w:p>
    <w:p w14:paraId="1442B007" w14:textId="092450CB" w:rsidR="00E2413E" w:rsidRDefault="00DE6C2C">
      <w:r>
        <w:t>No</w:t>
      </w:r>
    </w:p>
    <w:p w14:paraId="6D3788BA" w14:textId="5A9FBFD5" w:rsidR="00E2413E" w:rsidRDefault="00E2413E" w:rsidP="000F396D">
      <w:pPr>
        <w:pStyle w:val="Heading3"/>
      </w:pPr>
      <w:r>
        <w:t>Keywords (minimum of 5)</w:t>
      </w:r>
    </w:p>
    <w:p w14:paraId="3D8F32B5" w14:textId="3CD08DD2" w:rsidR="00E2413E" w:rsidRDefault="00DE6C2C">
      <w:r>
        <w:t>Immunocytochemistry, iPSC, neurons</w:t>
      </w:r>
      <w:r>
        <w:t xml:space="preserve">, Live imaging, </w:t>
      </w:r>
      <w:r w:rsidR="001D5FD4">
        <w:t>Autophagy, Lysosome</w:t>
      </w:r>
    </w:p>
    <w:p w14:paraId="44366189" w14:textId="636D4562" w:rsidR="00E2413E" w:rsidRDefault="00E2413E" w:rsidP="000F396D">
      <w:pPr>
        <w:pStyle w:val="Heading3"/>
      </w:pPr>
      <w:r>
        <w:t>DOI (if applicable)</w:t>
      </w:r>
    </w:p>
    <w:p w14:paraId="720BAF0B" w14:textId="45472F28" w:rsidR="00E2413E" w:rsidRDefault="00E2413E"/>
    <w:p w14:paraId="56E8FC9A" w14:textId="1E4DEE18" w:rsidR="00E2413E" w:rsidRDefault="00E2413E" w:rsidP="000F396D">
      <w:pPr>
        <w:pStyle w:val="Heading3"/>
      </w:pPr>
      <w:r>
        <w:t>Usage notes (</w:t>
      </w:r>
      <w:proofErr w:type="gramStart"/>
      <w:r>
        <w:t>i.e.</w:t>
      </w:r>
      <w:proofErr w:type="gramEnd"/>
      <w:r>
        <w:t xml:space="preserve"> to access will you need to create an account with a particular provider?)</w:t>
      </w:r>
    </w:p>
    <w:p w14:paraId="2EB3DB86" w14:textId="44F95E20" w:rsidR="00E2413E" w:rsidRDefault="00E2413E"/>
    <w:p w14:paraId="2D9CBF2D" w14:textId="21727B5F" w:rsidR="00E2413E" w:rsidRDefault="00E2413E" w:rsidP="000F396D">
      <w:pPr>
        <w:pStyle w:val="Heading3"/>
      </w:pPr>
      <w:r>
        <w:t>Contributors</w:t>
      </w:r>
    </w:p>
    <w:p w14:paraId="6A3B67CB" w14:textId="2B524536" w:rsidR="00E2413E" w:rsidRDefault="00E2413E" w:rsidP="00E2413E">
      <w:pPr>
        <w:pStyle w:val="ListParagraph"/>
        <w:numPr>
          <w:ilvl w:val="0"/>
          <w:numId w:val="1"/>
        </w:numPr>
      </w:pPr>
      <w:r>
        <w:t>ASAP Teams (</w:t>
      </w:r>
      <w:proofErr w:type="gramStart"/>
      <w:r>
        <w:t>e.g.</w:t>
      </w:r>
      <w:proofErr w:type="gramEnd"/>
      <w:r>
        <w:t xml:space="preserve"> Kirik, Alessi, Scherzer, Lee)</w:t>
      </w:r>
    </w:p>
    <w:p w14:paraId="0E35EFE1" w14:textId="1D063A03" w:rsidR="00E2413E" w:rsidRDefault="00E2413E" w:rsidP="00E2413E">
      <w:pPr>
        <w:pStyle w:val="ListParagraph"/>
        <w:numPr>
          <w:ilvl w:val="1"/>
          <w:numId w:val="1"/>
        </w:numPr>
      </w:pPr>
      <w:r>
        <w:t>Kirik</w:t>
      </w:r>
    </w:p>
    <w:p w14:paraId="04ED04B3" w14:textId="70419383" w:rsidR="00E2413E" w:rsidRDefault="00E2413E" w:rsidP="00E2413E">
      <w:pPr>
        <w:pStyle w:val="ListParagraph"/>
        <w:numPr>
          <w:ilvl w:val="0"/>
          <w:numId w:val="1"/>
        </w:numPr>
      </w:pPr>
      <w:r>
        <w:t>Labs (</w:t>
      </w:r>
      <w:proofErr w:type="gramStart"/>
      <w:r>
        <w:t>e.g.</w:t>
      </w:r>
      <w:proofErr w:type="gramEnd"/>
      <w:r>
        <w:t xml:space="preserve"> Kirik, Parish, Thompson, Halliday, Sue, Johnston)</w:t>
      </w:r>
    </w:p>
    <w:p w14:paraId="1EC4F2FE" w14:textId="3F257CE9" w:rsidR="00E2413E" w:rsidRDefault="00DE6C2C" w:rsidP="00E2413E">
      <w:pPr>
        <w:pStyle w:val="ListParagraph"/>
        <w:numPr>
          <w:ilvl w:val="1"/>
          <w:numId w:val="1"/>
        </w:numPr>
      </w:pPr>
      <w:r>
        <w:t>Halliday</w:t>
      </w:r>
    </w:p>
    <w:p w14:paraId="7F039FCA" w14:textId="24A693A1" w:rsidR="00E2413E" w:rsidRDefault="00E2413E" w:rsidP="00E2413E">
      <w:pPr>
        <w:pStyle w:val="ListParagraph"/>
        <w:numPr>
          <w:ilvl w:val="0"/>
          <w:numId w:val="1"/>
        </w:numPr>
      </w:pPr>
      <w:r>
        <w:lastRenderedPageBreak/>
        <w:t>Authors (</w:t>
      </w:r>
      <w:proofErr w:type="gramStart"/>
      <w:r>
        <w:t>e.g.</w:t>
      </w:r>
      <w:proofErr w:type="gramEnd"/>
      <w:r>
        <w:t xml:space="preserve"> Dad Abu-</w:t>
      </w:r>
      <w:proofErr w:type="spellStart"/>
      <w:r>
        <w:t>bonsrah</w:t>
      </w:r>
      <w:proofErr w:type="spellEnd"/>
      <w:r>
        <w:t xml:space="preserve">, Louise Cottle, Gautam </w:t>
      </w:r>
      <w:proofErr w:type="spellStart"/>
      <w:r>
        <w:t>Wali</w:t>
      </w:r>
      <w:proofErr w:type="spellEnd"/>
      <w:r>
        <w:t xml:space="preserve">, </w:t>
      </w:r>
      <w:proofErr w:type="spellStart"/>
      <w:r>
        <w:t>Adahir</w:t>
      </w:r>
      <w:proofErr w:type="spellEnd"/>
      <w:r>
        <w:t xml:space="preserve"> </w:t>
      </w:r>
      <w:r w:rsidR="00A74C6C">
        <w:t>Labrador-Garrido)</w:t>
      </w:r>
    </w:p>
    <w:p w14:paraId="574F97A1" w14:textId="77777777" w:rsidR="00DE6C2C" w:rsidRDefault="00DE6C2C" w:rsidP="00DE6C2C">
      <w:pPr>
        <w:pStyle w:val="ListParagraph"/>
        <w:numPr>
          <w:ilvl w:val="1"/>
          <w:numId w:val="1"/>
        </w:numPr>
      </w:pPr>
      <w:r>
        <w:t xml:space="preserve">Jessica </w:t>
      </w:r>
      <w:proofErr w:type="spellStart"/>
      <w:r>
        <w:t>Chedid</w:t>
      </w:r>
      <w:proofErr w:type="spellEnd"/>
      <w:r>
        <w:t xml:space="preserve">, </w:t>
      </w:r>
      <w:proofErr w:type="spellStart"/>
      <w:r>
        <w:t>Adahir</w:t>
      </w:r>
      <w:proofErr w:type="spellEnd"/>
      <w:r>
        <w:t xml:space="preserve"> Labrador-Garrido, Nicolas </w:t>
      </w:r>
      <w:proofErr w:type="spellStart"/>
      <w:r>
        <w:t>Dzamko</w:t>
      </w:r>
      <w:proofErr w:type="spellEnd"/>
    </w:p>
    <w:p w14:paraId="04782E36" w14:textId="77777777" w:rsidR="004E2CA7" w:rsidRDefault="004E2CA7" w:rsidP="00A74C6C">
      <w:pPr>
        <w:sectPr w:rsidR="004E2CA7" w:rsidSect="004A78BB">
          <w:headerReference w:type="default" r:id="rId7"/>
          <w:pgSz w:w="11906" w:h="16838"/>
          <w:pgMar w:top="1701" w:right="1440" w:bottom="1440" w:left="1440" w:header="708" w:footer="708" w:gutter="0"/>
          <w:cols w:space="708"/>
          <w:docGrid w:linePitch="360"/>
        </w:sectPr>
      </w:pPr>
    </w:p>
    <w:p w14:paraId="1067EEB8" w14:textId="42380B62" w:rsidR="004E2CA7" w:rsidRDefault="00E66352" w:rsidP="002C05E0">
      <w:pPr>
        <w:pStyle w:val="Heading1"/>
      </w:pPr>
      <w:r>
        <w:lastRenderedPageBreak/>
        <w:t>Treatment</w:t>
      </w:r>
      <w:r w:rsidR="00DE6C2C">
        <w:t xml:space="preserve"> and staining of iPSC-derived neurons for lysosomal phenotype analysis</w:t>
      </w:r>
      <w:r w:rsidR="00DE6C2C">
        <w:t xml:space="preserve"> </w:t>
      </w:r>
      <w:r w:rsidR="002C05E0">
        <w:t>Protoc</w:t>
      </w:r>
      <w:r w:rsidR="00DE6C2C">
        <w:t>ol</w:t>
      </w:r>
    </w:p>
    <w:p w14:paraId="29EBE77A" w14:textId="0A99B78E" w:rsidR="000E4E4F" w:rsidRDefault="00F57C31" w:rsidP="000E4E4F">
      <w:pPr>
        <w:pStyle w:val="Heading3"/>
      </w:pPr>
      <w:r>
        <w:t xml:space="preserve">Key </w:t>
      </w:r>
      <w:r w:rsidR="00360823">
        <w:t>equipment/</w:t>
      </w:r>
      <w:r>
        <w:t>c</w:t>
      </w:r>
      <w:r w:rsidR="000E4E4F">
        <w:t>onsumables/reagents/solutions</w:t>
      </w:r>
      <w:r w:rsidR="00E21C14">
        <w:t xml:space="preserve"> </w:t>
      </w:r>
    </w:p>
    <w:p w14:paraId="619E5098" w14:textId="77777777" w:rsidR="000F3749" w:rsidRDefault="000F3749" w:rsidP="000F3749">
      <w:pPr>
        <w:pStyle w:val="Heading3"/>
      </w:pPr>
      <w:r>
        <w:t>Consumables</w:t>
      </w:r>
    </w:p>
    <w:p w14:paraId="1186CE22" w14:textId="77777777" w:rsidR="000F3749" w:rsidRPr="00DF0294" w:rsidRDefault="000F3749" w:rsidP="000F3749">
      <w:pPr>
        <w:pStyle w:val="Heading3"/>
        <w:spacing w:before="240"/>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t xml:space="preserve">96 well-plates from Perkin Elmer: </w:t>
      </w:r>
      <w:r w:rsidRPr="00CB2371">
        <w:rPr>
          <w:rFonts w:asciiTheme="minorHAnsi" w:eastAsiaTheme="minorHAnsi" w:hAnsiTheme="minorHAnsi" w:cstheme="minorBidi"/>
          <w:color w:val="auto"/>
          <w:sz w:val="22"/>
          <w:szCs w:val="22"/>
        </w:rPr>
        <w:t>CELLCARRIER-96 ULTRA Black with clear bottom, TC</w:t>
      </w:r>
      <w:r>
        <w:rPr>
          <w:rFonts w:asciiTheme="minorHAnsi" w:eastAsiaTheme="minorHAnsi" w:hAnsiTheme="minorHAnsi" w:cstheme="minorBidi"/>
          <w:color w:val="auto"/>
          <w:sz w:val="22"/>
          <w:szCs w:val="22"/>
        </w:rPr>
        <w:t xml:space="preserve"> </w:t>
      </w:r>
      <w:r w:rsidRPr="00CB2371">
        <w:rPr>
          <w:rFonts w:asciiTheme="minorHAnsi" w:eastAsiaTheme="minorHAnsi" w:hAnsiTheme="minorHAnsi" w:cstheme="minorBidi"/>
          <w:color w:val="auto"/>
          <w:sz w:val="22"/>
          <w:szCs w:val="22"/>
        </w:rPr>
        <w:t>treated, sterile with lid</w:t>
      </w:r>
      <w:r>
        <w:rPr>
          <w:rFonts w:asciiTheme="minorHAnsi" w:eastAsiaTheme="minorHAnsi" w:hAnsiTheme="minorHAnsi" w:cstheme="minorBidi"/>
          <w:color w:val="auto"/>
          <w:sz w:val="22"/>
          <w:szCs w:val="22"/>
        </w:rPr>
        <w:t xml:space="preserve"> (catalogue no. </w:t>
      </w:r>
      <w:r w:rsidRPr="00CB2371">
        <w:rPr>
          <w:rFonts w:asciiTheme="minorHAnsi" w:eastAsiaTheme="minorHAnsi" w:hAnsiTheme="minorHAnsi" w:cstheme="minorBidi"/>
          <w:color w:val="auto"/>
          <w:sz w:val="22"/>
          <w:szCs w:val="22"/>
        </w:rPr>
        <w:t>6055300</w:t>
      </w:r>
      <w:r>
        <w:rPr>
          <w:rFonts w:asciiTheme="minorHAnsi" w:eastAsiaTheme="minorHAnsi" w:hAnsiTheme="minorHAnsi" w:cstheme="minorBidi"/>
          <w:color w:val="auto"/>
          <w:sz w:val="22"/>
          <w:szCs w:val="22"/>
        </w:rPr>
        <w:t>)</w:t>
      </w:r>
    </w:p>
    <w:p w14:paraId="7B9EABF0" w14:textId="77777777" w:rsidR="000F3749" w:rsidRDefault="000F3749" w:rsidP="000F3749">
      <w:pPr>
        <w:pStyle w:val="Heading3"/>
      </w:pPr>
      <w:r>
        <w:t>Reagents</w:t>
      </w:r>
    </w:p>
    <w:p w14:paraId="1137223B" w14:textId="77777777" w:rsidR="000F3749" w:rsidRPr="00AF0BCB" w:rsidRDefault="000F3749" w:rsidP="000F3749">
      <w:pPr>
        <w:pStyle w:val="ListParagraph"/>
        <w:numPr>
          <w:ilvl w:val="0"/>
          <w:numId w:val="2"/>
        </w:numPr>
        <w:ind w:left="0"/>
        <w:rPr>
          <w:b/>
          <w:bCs/>
        </w:rPr>
      </w:pPr>
      <w:r w:rsidRPr="00AF0BCB">
        <w:rPr>
          <w:b/>
          <w:bCs/>
        </w:rPr>
        <w:t>For live cells:</w:t>
      </w:r>
    </w:p>
    <w:p w14:paraId="0B28F7A5" w14:textId="0A0060C1" w:rsidR="000F3749" w:rsidRDefault="000F3749" w:rsidP="000F3749">
      <w:r>
        <w:t>Cell culture media*</w:t>
      </w:r>
      <w:r w:rsidR="00AF0BCB">
        <w:t xml:space="preserve"> (refer to ‘material input’ section for details)</w:t>
      </w:r>
    </w:p>
    <w:p w14:paraId="3DB12FFC" w14:textId="77777777" w:rsidR="000F3749" w:rsidRDefault="000F3749" w:rsidP="000F3749">
      <w:r>
        <w:t>DQ-red BSA (</w:t>
      </w:r>
      <w:proofErr w:type="spellStart"/>
      <w:r>
        <w:t>ThermoFisher</w:t>
      </w:r>
      <w:proofErr w:type="spellEnd"/>
      <w:r>
        <w:t xml:space="preserve"> D12051)</w:t>
      </w:r>
    </w:p>
    <w:p w14:paraId="518AB57B" w14:textId="77777777" w:rsidR="000F3749" w:rsidRDefault="000F3749" w:rsidP="000F3749">
      <w:r w:rsidRPr="0027760B">
        <w:t>Lysosomal Staining Reagent- Orange-</w:t>
      </w:r>
      <w:proofErr w:type="spellStart"/>
      <w:r w:rsidRPr="0027760B">
        <w:t>Cytopainter</w:t>
      </w:r>
      <w:proofErr w:type="spellEnd"/>
      <w:r w:rsidRPr="0027760B">
        <w:t xml:space="preserve"> (</w:t>
      </w:r>
      <w:proofErr w:type="spellStart"/>
      <w:r w:rsidRPr="0027760B">
        <w:t>abcam</w:t>
      </w:r>
      <w:proofErr w:type="spellEnd"/>
      <w:r w:rsidRPr="0027760B">
        <w:t xml:space="preserve"> ab176827)</w:t>
      </w:r>
    </w:p>
    <w:p w14:paraId="51610ED7" w14:textId="77777777" w:rsidR="000F3749" w:rsidRDefault="000F3749" w:rsidP="000F3749">
      <w:proofErr w:type="spellStart"/>
      <w:r>
        <w:t>Mitotracker</w:t>
      </w:r>
      <w:proofErr w:type="spellEnd"/>
      <w:r>
        <w:t xml:space="preserve"> deep red (</w:t>
      </w:r>
      <w:proofErr w:type="spellStart"/>
      <w:r>
        <w:t>ThermoFisher</w:t>
      </w:r>
      <w:proofErr w:type="spellEnd"/>
      <w:r>
        <w:t xml:space="preserve"> M22426)</w:t>
      </w:r>
    </w:p>
    <w:p w14:paraId="1383422C" w14:textId="77777777" w:rsidR="000F3749" w:rsidRDefault="000F3749" w:rsidP="000F3749">
      <w:r>
        <w:t xml:space="preserve">Cell proliferation staining reagent – Green fluorescence – </w:t>
      </w:r>
      <w:proofErr w:type="spellStart"/>
      <w:r>
        <w:t>Cytopainter</w:t>
      </w:r>
      <w:proofErr w:type="spellEnd"/>
      <w:r>
        <w:t xml:space="preserve"> (</w:t>
      </w:r>
      <w:proofErr w:type="spellStart"/>
      <w:r>
        <w:t>abcam</w:t>
      </w:r>
      <w:proofErr w:type="spellEnd"/>
      <w:r>
        <w:t xml:space="preserve"> ab176735)</w:t>
      </w:r>
    </w:p>
    <w:p w14:paraId="2D8E5353" w14:textId="77777777" w:rsidR="000F3749" w:rsidRDefault="000F3749" w:rsidP="000F3749">
      <w:r>
        <w:t>PUREBLU</w:t>
      </w:r>
      <w:r w:rsidRPr="00A738F7">
        <w:rPr>
          <w:vertAlign w:val="superscript"/>
        </w:rPr>
        <w:t>TM</w:t>
      </w:r>
      <w:r>
        <w:t xml:space="preserve"> </w:t>
      </w:r>
      <w:proofErr w:type="spellStart"/>
      <w:r>
        <w:t>Hoesht</w:t>
      </w:r>
      <w:proofErr w:type="spellEnd"/>
      <w:r>
        <w:t xml:space="preserve"> 33342 (Bio-Rad #1351304)</w:t>
      </w:r>
    </w:p>
    <w:p w14:paraId="481F599D" w14:textId="77777777" w:rsidR="000F3749" w:rsidRDefault="000F3749" w:rsidP="000F3749">
      <w:pPr>
        <w:pStyle w:val="ListParagraph"/>
        <w:numPr>
          <w:ilvl w:val="0"/>
          <w:numId w:val="2"/>
        </w:numPr>
        <w:ind w:left="0"/>
      </w:pPr>
      <w:r w:rsidRPr="00AF0BCB">
        <w:rPr>
          <w:b/>
          <w:bCs/>
        </w:rPr>
        <w:t>For fixed cells</w:t>
      </w:r>
      <w:r>
        <w:t>:</w:t>
      </w:r>
    </w:p>
    <w:p w14:paraId="75BDBA4B" w14:textId="77777777" w:rsidR="000F3749" w:rsidRPr="007D16A9" w:rsidRDefault="000F3749" w:rsidP="000F3749">
      <w:pPr>
        <w:rPr>
          <w:rFonts w:ascii="Calibri" w:eastAsia="Times New Roman" w:hAnsi="Calibri" w:cs="Calibri"/>
          <w:color w:val="000000"/>
          <w:lang w:eastAsia="en-AU"/>
        </w:rPr>
      </w:pPr>
      <w:r>
        <w:t>Triton X100 (Sigma #</w:t>
      </w:r>
      <w:r w:rsidRPr="007D16A9">
        <w:rPr>
          <w:rFonts w:ascii="Calibri" w:eastAsia="Times New Roman" w:hAnsi="Calibri" w:cs="Calibri"/>
          <w:color w:val="000000"/>
          <w:lang w:eastAsia="en-AU"/>
        </w:rPr>
        <w:t>T8787-100</w:t>
      </w:r>
      <w:r>
        <w:rPr>
          <w:rFonts w:ascii="Calibri" w:eastAsia="Times New Roman" w:hAnsi="Calibri" w:cs="Calibri"/>
          <w:color w:val="000000"/>
          <w:lang w:eastAsia="en-AU"/>
        </w:rPr>
        <w:t>ml)</w:t>
      </w:r>
    </w:p>
    <w:p w14:paraId="5369215F" w14:textId="2B6782D7" w:rsidR="000F3749" w:rsidRPr="00AF0BCB" w:rsidRDefault="000F3749" w:rsidP="000F3749">
      <w:pPr>
        <w:rPr>
          <w:rFonts w:ascii="Arial" w:eastAsia="Times New Roman" w:hAnsi="Arial" w:cs="Arial"/>
          <w:color w:val="000000"/>
          <w:lang w:eastAsia="en-AU"/>
        </w:rPr>
      </w:pPr>
      <w:r>
        <w:t>Bovine serum albumin (</w:t>
      </w:r>
      <w:proofErr w:type="spellStart"/>
      <w:r>
        <w:t>Bovostar</w:t>
      </w:r>
      <w:proofErr w:type="spellEnd"/>
      <w:r w:rsidRPr="00DB42DA">
        <w:rPr>
          <w:rFonts w:ascii="Calibri" w:hAnsi="Calibri" w:cs="Calibri"/>
        </w:rPr>
        <w:t xml:space="preserve"> </w:t>
      </w:r>
      <w:r w:rsidRPr="00DB42DA">
        <w:rPr>
          <w:rFonts w:ascii="Calibri" w:eastAsia="Times New Roman" w:hAnsi="Calibri" w:cs="Calibri"/>
          <w:color w:val="000000"/>
          <w:lang w:eastAsia="en-AU"/>
        </w:rPr>
        <w:t>BSAS-AU 500g)</w:t>
      </w:r>
    </w:p>
    <w:p w14:paraId="033224D0" w14:textId="77777777" w:rsidR="000F3749" w:rsidRPr="007D16A9" w:rsidRDefault="000F3749" w:rsidP="000F3749">
      <w:pPr>
        <w:rPr>
          <w:rFonts w:ascii="Calibri" w:eastAsia="Times New Roman" w:hAnsi="Calibri" w:cs="Calibri"/>
          <w:color w:val="000000"/>
          <w:lang w:eastAsia="en-AU"/>
        </w:rPr>
      </w:pPr>
      <w:r>
        <w:t>Paraformaldehyde (Sigma #</w:t>
      </w:r>
      <w:r w:rsidRPr="007D16A9">
        <w:rPr>
          <w:rFonts w:ascii="Calibri" w:eastAsia="Times New Roman" w:hAnsi="Calibri" w:cs="Calibri"/>
          <w:color w:val="000000"/>
          <w:lang w:eastAsia="en-AU"/>
        </w:rPr>
        <w:t>ACR416780010</w:t>
      </w:r>
      <w:r>
        <w:rPr>
          <w:rFonts w:ascii="Calibri" w:eastAsia="Times New Roman" w:hAnsi="Calibri" w:cs="Calibri"/>
          <w:color w:val="000000"/>
          <w:lang w:eastAsia="en-AU"/>
        </w:rPr>
        <w:t>)</w:t>
      </w:r>
    </w:p>
    <w:p w14:paraId="35BAF73C" w14:textId="77777777" w:rsidR="000F3749" w:rsidRDefault="000F3749" w:rsidP="000F3749">
      <w:r>
        <w:t>Bafilomycin A1 (</w:t>
      </w:r>
      <w:r w:rsidRPr="00873F1C">
        <w:t>B1793-10U</w:t>
      </w:r>
      <w:r>
        <w:t>G)</w:t>
      </w:r>
    </w:p>
    <w:p w14:paraId="60AB9110" w14:textId="77777777" w:rsidR="000F3749" w:rsidRDefault="000F3749" w:rsidP="000F3749">
      <w:r>
        <w:t>DAPI nuclear stain</w:t>
      </w:r>
    </w:p>
    <w:p w14:paraId="3E93624C" w14:textId="77777777" w:rsidR="00CD5C19" w:rsidRDefault="00CD5C19" w:rsidP="00CD5C19">
      <w:r>
        <w:t>Antibodies:</w:t>
      </w:r>
    </w:p>
    <w:tbl>
      <w:tblPr>
        <w:tblW w:w="5944" w:type="dxa"/>
        <w:tblLook w:val="04A0" w:firstRow="1" w:lastRow="0" w:firstColumn="1" w:lastColumn="0" w:noHBand="0" w:noVBand="1"/>
      </w:tblPr>
      <w:tblGrid>
        <w:gridCol w:w="1300"/>
        <w:gridCol w:w="1300"/>
        <w:gridCol w:w="1785"/>
        <w:gridCol w:w="1559"/>
      </w:tblGrid>
      <w:tr w:rsidR="00CD5C19" w:rsidRPr="007A46F7" w14:paraId="4D9ECA96" w14:textId="77777777" w:rsidTr="000257F5">
        <w:trPr>
          <w:trHeight w:val="340"/>
        </w:trPr>
        <w:tc>
          <w:tcPr>
            <w:tcW w:w="1300" w:type="dxa"/>
            <w:tcBorders>
              <w:top w:val="single" w:sz="8" w:space="0" w:color="auto"/>
              <w:left w:val="single" w:sz="8" w:space="0" w:color="auto"/>
              <w:bottom w:val="single" w:sz="8" w:space="0" w:color="auto"/>
              <w:right w:val="single" w:sz="4" w:space="0" w:color="auto"/>
            </w:tcBorders>
            <w:shd w:val="clear" w:color="000000" w:fill="D0CECE"/>
            <w:noWrap/>
            <w:vAlign w:val="bottom"/>
            <w:hideMark/>
          </w:tcPr>
          <w:p w14:paraId="372EE576"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Antibodies</w:t>
            </w:r>
          </w:p>
        </w:tc>
        <w:tc>
          <w:tcPr>
            <w:tcW w:w="1300" w:type="dxa"/>
            <w:tcBorders>
              <w:top w:val="single" w:sz="8" w:space="0" w:color="auto"/>
              <w:left w:val="nil"/>
              <w:bottom w:val="single" w:sz="8" w:space="0" w:color="auto"/>
              <w:right w:val="single" w:sz="4" w:space="0" w:color="auto"/>
            </w:tcBorders>
            <w:shd w:val="clear" w:color="000000" w:fill="D0CECE"/>
            <w:noWrap/>
            <w:vAlign w:val="bottom"/>
            <w:hideMark/>
          </w:tcPr>
          <w:p w14:paraId="1D25B045"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Species</w:t>
            </w:r>
          </w:p>
        </w:tc>
        <w:tc>
          <w:tcPr>
            <w:tcW w:w="1785" w:type="dxa"/>
            <w:tcBorders>
              <w:top w:val="single" w:sz="8" w:space="0" w:color="auto"/>
              <w:left w:val="nil"/>
              <w:bottom w:val="single" w:sz="8" w:space="0" w:color="auto"/>
              <w:right w:val="single" w:sz="4" w:space="0" w:color="auto"/>
            </w:tcBorders>
            <w:shd w:val="clear" w:color="000000" w:fill="D0CECE"/>
            <w:noWrap/>
            <w:vAlign w:val="bottom"/>
            <w:hideMark/>
          </w:tcPr>
          <w:p w14:paraId="49E7F6B8"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Source</w:t>
            </w:r>
          </w:p>
        </w:tc>
        <w:tc>
          <w:tcPr>
            <w:tcW w:w="1559" w:type="dxa"/>
            <w:tcBorders>
              <w:top w:val="single" w:sz="8" w:space="0" w:color="auto"/>
              <w:left w:val="nil"/>
              <w:bottom w:val="single" w:sz="8" w:space="0" w:color="auto"/>
              <w:right w:val="single" w:sz="8" w:space="0" w:color="auto"/>
            </w:tcBorders>
            <w:shd w:val="clear" w:color="000000" w:fill="D0CECE"/>
            <w:noWrap/>
            <w:vAlign w:val="bottom"/>
            <w:hideMark/>
          </w:tcPr>
          <w:p w14:paraId="62F0DEC3"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Cat n#</w:t>
            </w:r>
          </w:p>
        </w:tc>
      </w:tr>
      <w:tr w:rsidR="00CD5C19" w:rsidRPr="007A46F7" w14:paraId="14A92CBC" w14:textId="77777777" w:rsidTr="000257F5">
        <w:trPr>
          <w:trHeight w:val="320"/>
        </w:trPr>
        <w:tc>
          <w:tcPr>
            <w:tcW w:w="1300" w:type="dxa"/>
            <w:tcBorders>
              <w:top w:val="nil"/>
              <w:left w:val="single" w:sz="8" w:space="0" w:color="auto"/>
              <w:bottom w:val="single" w:sz="4" w:space="0" w:color="auto"/>
              <w:right w:val="nil"/>
            </w:tcBorders>
            <w:shd w:val="clear" w:color="auto" w:fill="auto"/>
            <w:noWrap/>
            <w:vAlign w:val="bottom"/>
            <w:hideMark/>
          </w:tcPr>
          <w:p w14:paraId="5FCEBDF9"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MAP2</w:t>
            </w:r>
            <w:r>
              <w:rPr>
                <w:rFonts w:ascii="Calibri" w:eastAsia="Times New Roman" w:hAnsi="Calibri" w:cs="Calibri"/>
                <w:color w:val="000000"/>
                <w:lang w:eastAsia="en-GB"/>
              </w:rPr>
              <w:t>*</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195ADF5D"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Chicken</w:t>
            </w:r>
          </w:p>
        </w:tc>
        <w:tc>
          <w:tcPr>
            <w:tcW w:w="1785" w:type="dxa"/>
            <w:tcBorders>
              <w:top w:val="nil"/>
              <w:left w:val="nil"/>
              <w:bottom w:val="single" w:sz="4" w:space="0" w:color="auto"/>
              <w:right w:val="single" w:sz="8" w:space="0" w:color="auto"/>
            </w:tcBorders>
            <w:shd w:val="clear" w:color="auto" w:fill="auto"/>
            <w:noWrap/>
            <w:vAlign w:val="bottom"/>
            <w:hideMark/>
          </w:tcPr>
          <w:p w14:paraId="4E37A776" w14:textId="77777777" w:rsidR="00CD5C19" w:rsidRPr="007A46F7" w:rsidRDefault="00CD5C19" w:rsidP="000257F5">
            <w:pPr>
              <w:rPr>
                <w:rFonts w:ascii="Calibri" w:eastAsia="Times New Roman" w:hAnsi="Calibri" w:cs="Calibri"/>
                <w:color w:val="000000"/>
                <w:lang w:eastAsia="en-GB"/>
              </w:rPr>
            </w:pPr>
            <w:proofErr w:type="spellStart"/>
            <w:r w:rsidRPr="007A46F7">
              <w:rPr>
                <w:rFonts w:ascii="Calibri" w:eastAsia="Times New Roman" w:hAnsi="Calibri" w:cs="Calibri"/>
                <w:color w:val="000000"/>
                <w:lang w:eastAsia="en-GB"/>
              </w:rPr>
              <w:t>Thermo</w:t>
            </w:r>
            <w:proofErr w:type="spellEnd"/>
            <w:r w:rsidRPr="007A46F7">
              <w:rPr>
                <w:rFonts w:ascii="Calibri" w:eastAsia="Times New Roman" w:hAnsi="Calibri" w:cs="Calibri"/>
                <w:color w:val="000000"/>
                <w:lang w:eastAsia="en-GB"/>
              </w:rPr>
              <w:t xml:space="preserve"> Fisher</w:t>
            </w:r>
          </w:p>
        </w:tc>
        <w:tc>
          <w:tcPr>
            <w:tcW w:w="1559" w:type="dxa"/>
            <w:tcBorders>
              <w:top w:val="nil"/>
              <w:left w:val="nil"/>
              <w:bottom w:val="single" w:sz="4" w:space="0" w:color="auto"/>
              <w:right w:val="single" w:sz="8" w:space="0" w:color="auto"/>
            </w:tcBorders>
            <w:shd w:val="clear" w:color="auto" w:fill="auto"/>
            <w:noWrap/>
            <w:vAlign w:val="bottom"/>
            <w:hideMark/>
          </w:tcPr>
          <w:p w14:paraId="482027F1"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PA1-10005</w:t>
            </w:r>
          </w:p>
        </w:tc>
      </w:tr>
      <w:tr w:rsidR="00CD5C19" w:rsidRPr="007A46F7" w14:paraId="7E500C69" w14:textId="77777777" w:rsidTr="000257F5">
        <w:trPr>
          <w:trHeight w:val="320"/>
        </w:trPr>
        <w:tc>
          <w:tcPr>
            <w:tcW w:w="1300" w:type="dxa"/>
            <w:tcBorders>
              <w:top w:val="nil"/>
              <w:left w:val="single" w:sz="8" w:space="0" w:color="auto"/>
              <w:bottom w:val="single" w:sz="4" w:space="0" w:color="auto"/>
              <w:right w:val="nil"/>
            </w:tcBorders>
            <w:shd w:val="clear" w:color="auto" w:fill="auto"/>
            <w:noWrap/>
            <w:vAlign w:val="bottom"/>
            <w:hideMark/>
          </w:tcPr>
          <w:p w14:paraId="3925D627"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TH</w:t>
            </w:r>
            <w:r>
              <w:rPr>
                <w:rFonts w:ascii="Calibri" w:eastAsia="Times New Roman" w:hAnsi="Calibri" w:cs="Calibri"/>
                <w:color w:val="000000"/>
                <w:lang w:eastAsia="en-GB"/>
              </w:rPr>
              <w:t>*</w:t>
            </w:r>
          </w:p>
        </w:tc>
        <w:tc>
          <w:tcPr>
            <w:tcW w:w="1300" w:type="dxa"/>
            <w:tcBorders>
              <w:top w:val="nil"/>
              <w:left w:val="single" w:sz="8" w:space="0" w:color="auto"/>
              <w:bottom w:val="single" w:sz="4" w:space="0" w:color="auto"/>
              <w:right w:val="single" w:sz="8" w:space="0" w:color="auto"/>
            </w:tcBorders>
            <w:shd w:val="clear" w:color="auto" w:fill="auto"/>
            <w:noWrap/>
            <w:vAlign w:val="bottom"/>
            <w:hideMark/>
          </w:tcPr>
          <w:p w14:paraId="7B95764C"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Sheep</w:t>
            </w:r>
          </w:p>
        </w:tc>
        <w:tc>
          <w:tcPr>
            <w:tcW w:w="1785" w:type="dxa"/>
            <w:tcBorders>
              <w:top w:val="nil"/>
              <w:left w:val="nil"/>
              <w:bottom w:val="single" w:sz="4" w:space="0" w:color="auto"/>
              <w:right w:val="single" w:sz="8" w:space="0" w:color="auto"/>
            </w:tcBorders>
            <w:shd w:val="clear" w:color="auto" w:fill="auto"/>
            <w:noWrap/>
            <w:vAlign w:val="bottom"/>
            <w:hideMark/>
          </w:tcPr>
          <w:p w14:paraId="2FE84389" w14:textId="77777777" w:rsidR="00CD5C19" w:rsidRPr="007A46F7" w:rsidRDefault="00CD5C19" w:rsidP="000257F5">
            <w:pPr>
              <w:rPr>
                <w:rFonts w:ascii="Calibri" w:eastAsia="Times New Roman" w:hAnsi="Calibri" w:cs="Calibri"/>
                <w:color w:val="000000"/>
                <w:lang w:eastAsia="en-GB"/>
              </w:rPr>
            </w:pPr>
            <w:proofErr w:type="spellStart"/>
            <w:r w:rsidRPr="007A46F7">
              <w:rPr>
                <w:rFonts w:ascii="Calibri" w:eastAsia="Times New Roman" w:hAnsi="Calibri" w:cs="Calibri"/>
                <w:color w:val="000000"/>
                <w:lang w:eastAsia="en-GB"/>
              </w:rPr>
              <w:t>Thermo</w:t>
            </w:r>
            <w:proofErr w:type="spellEnd"/>
            <w:r w:rsidRPr="007A46F7">
              <w:rPr>
                <w:rFonts w:ascii="Calibri" w:eastAsia="Times New Roman" w:hAnsi="Calibri" w:cs="Calibri"/>
                <w:color w:val="000000"/>
                <w:lang w:eastAsia="en-GB"/>
              </w:rPr>
              <w:t xml:space="preserve"> Fisher</w:t>
            </w:r>
          </w:p>
        </w:tc>
        <w:tc>
          <w:tcPr>
            <w:tcW w:w="1559" w:type="dxa"/>
            <w:tcBorders>
              <w:top w:val="nil"/>
              <w:left w:val="nil"/>
              <w:bottom w:val="single" w:sz="4" w:space="0" w:color="auto"/>
              <w:right w:val="single" w:sz="8" w:space="0" w:color="auto"/>
            </w:tcBorders>
            <w:shd w:val="clear" w:color="auto" w:fill="auto"/>
            <w:noWrap/>
            <w:vAlign w:val="bottom"/>
            <w:hideMark/>
          </w:tcPr>
          <w:p w14:paraId="7C73B768"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PA1-4679</w:t>
            </w:r>
          </w:p>
        </w:tc>
      </w:tr>
      <w:tr w:rsidR="00CD5C19" w:rsidRPr="007A46F7" w14:paraId="71728BB0" w14:textId="77777777" w:rsidTr="000257F5">
        <w:trPr>
          <w:trHeight w:val="320"/>
        </w:trPr>
        <w:tc>
          <w:tcPr>
            <w:tcW w:w="1300" w:type="dxa"/>
            <w:tcBorders>
              <w:top w:val="nil"/>
              <w:left w:val="single" w:sz="8" w:space="0" w:color="auto"/>
              <w:bottom w:val="single" w:sz="4" w:space="0" w:color="auto"/>
              <w:right w:val="nil"/>
            </w:tcBorders>
            <w:shd w:val="clear" w:color="000000" w:fill="FCE4D6"/>
            <w:noWrap/>
            <w:vAlign w:val="bottom"/>
            <w:hideMark/>
          </w:tcPr>
          <w:p w14:paraId="5FF90D41"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TH</w:t>
            </w:r>
            <w:r>
              <w:rPr>
                <w:rFonts w:ascii="Calibri" w:eastAsia="Times New Roman" w:hAnsi="Calibri" w:cs="Calibri"/>
                <w:color w:val="000000"/>
                <w:lang w:eastAsia="en-GB"/>
              </w:rPr>
              <w:t>*</w:t>
            </w:r>
          </w:p>
        </w:tc>
        <w:tc>
          <w:tcPr>
            <w:tcW w:w="1300" w:type="dxa"/>
            <w:tcBorders>
              <w:top w:val="nil"/>
              <w:left w:val="single" w:sz="8" w:space="0" w:color="auto"/>
              <w:bottom w:val="single" w:sz="4" w:space="0" w:color="auto"/>
              <w:right w:val="single" w:sz="8" w:space="0" w:color="auto"/>
            </w:tcBorders>
            <w:shd w:val="clear" w:color="000000" w:fill="FCE4D6"/>
            <w:noWrap/>
            <w:vAlign w:val="bottom"/>
            <w:hideMark/>
          </w:tcPr>
          <w:p w14:paraId="707E7337"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Rabbit</w:t>
            </w:r>
          </w:p>
        </w:tc>
        <w:tc>
          <w:tcPr>
            <w:tcW w:w="1785" w:type="dxa"/>
            <w:tcBorders>
              <w:top w:val="nil"/>
              <w:left w:val="nil"/>
              <w:bottom w:val="single" w:sz="4" w:space="0" w:color="auto"/>
              <w:right w:val="single" w:sz="8" w:space="0" w:color="auto"/>
            </w:tcBorders>
            <w:shd w:val="clear" w:color="000000" w:fill="FCE4D6"/>
            <w:noWrap/>
            <w:vAlign w:val="bottom"/>
            <w:hideMark/>
          </w:tcPr>
          <w:p w14:paraId="3E1707CE" w14:textId="77777777" w:rsidR="00CD5C19" w:rsidRPr="007A46F7" w:rsidRDefault="00CD5C19" w:rsidP="000257F5">
            <w:pPr>
              <w:rPr>
                <w:rFonts w:ascii="Calibri" w:eastAsia="Times New Roman" w:hAnsi="Calibri" w:cs="Calibri"/>
                <w:color w:val="000000"/>
                <w:lang w:eastAsia="en-GB"/>
              </w:rPr>
            </w:pPr>
            <w:proofErr w:type="spellStart"/>
            <w:r w:rsidRPr="007A46F7">
              <w:rPr>
                <w:rFonts w:ascii="Calibri" w:eastAsia="Times New Roman" w:hAnsi="Calibri" w:cs="Calibri"/>
                <w:color w:val="000000"/>
                <w:lang w:eastAsia="en-GB"/>
              </w:rPr>
              <w:t>Thermo</w:t>
            </w:r>
            <w:proofErr w:type="spellEnd"/>
            <w:r w:rsidRPr="007A46F7">
              <w:rPr>
                <w:rFonts w:ascii="Calibri" w:eastAsia="Times New Roman" w:hAnsi="Calibri" w:cs="Calibri"/>
                <w:color w:val="000000"/>
                <w:lang w:eastAsia="en-GB"/>
              </w:rPr>
              <w:t xml:space="preserve"> Fisher</w:t>
            </w:r>
          </w:p>
        </w:tc>
        <w:tc>
          <w:tcPr>
            <w:tcW w:w="1559" w:type="dxa"/>
            <w:tcBorders>
              <w:top w:val="nil"/>
              <w:left w:val="nil"/>
              <w:bottom w:val="single" w:sz="4" w:space="0" w:color="auto"/>
              <w:right w:val="single" w:sz="8" w:space="0" w:color="auto"/>
            </w:tcBorders>
            <w:shd w:val="clear" w:color="000000" w:fill="FCE4D6"/>
            <w:noWrap/>
            <w:vAlign w:val="bottom"/>
            <w:hideMark/>
          </w:tcPr>
          <w:p w14:paraId="1493495F"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OPA1-04050</w:t>
            </w:r>
          </w:p>
        </w:tc>
      </w:tr>
      <w:tr w:rsidR="00CD5C19" w:rsidRPr="007A46F7" w14:paraId="67879014" w14:textId="77777777" w:rsidTr="000257F5">
        <w:trPr>
          <w:trHeight w:val="320"/>
        </w:trPr>
        <w:tc>
          <w:tcPr>
            <w:tcW w:w="1300" w:type="dxa"/>
            <w:tcBorders>
              <w:top w:val="single" w:sz="4" w:space="0" w:color="auto"/>
              <w:left w:val="single" w:sz="8" w:space="0" w:color="auto"/>
              <w:bottom w:val="single" w:sz="4" w:space="0" w:color="auto"/>
              <w:right w:val="nil"/>
            </w:tcBorders>
            <w:shd w:val="clear" w:color="auto" w:fill="auto"/>
            <w:noWrap/>
            <w:vAlign w:val="bottom"/>
            <w:hideMark/>
          </w:tcPr>
          <w:p w14:paraId="5265D865"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LC3</w:t>
            </w:r>
          </w:p>
        </w:tc>
        <w:tc>
          <w:tcPr>
            <w:tcW w:w="130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14:paraId="282B8577"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Rabbit</w:t>
            </w:r>
          </w:p>
        </w:tc>
        <w:tc>
          <w:tcPr>
            <w:tcW w:w="1785" w:type="dxa"/>
            <w:tcBorders>
              <w:top w:val="single" w:sz="4" w:space="0" w:color="auto"/>
              <w:left w:val="nil"/>
              <w:bottom w:val="single" w:sz="4" w:space="0" w:color="auto"/>
              <w:right w:val="single" w:sz="8" w:space="0" w:color="auto"/>
            </w:tcBorders>
            <w:shd w:val="clear" w:color="auto" w:fill="auto"/>
            <w:noWrap/>
            <w:vAlign w:val="bottom"/>
            <w:hideMark/>
          </w:tcPr>
          <w:p w14:paraId="28ABF9DA"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Abcam</w:t>
            </w:r>
          </w:p>
        </w:tc>
        <w:tc>
          <w:tcPr>
            <w:tcW w:w="1559" w:type="dxa"/>
            <w:tcBorders>
              <w:top w:val="single" w:sz="4" w:space="0" w:color="auto"/>
              <w:left w:val="nil"/>
              <w:bottom w:val="single" w:sz="4" w:space="0" w:color="auto"/>
              <w:right w:val="single" w:sz="8" w:space="0" w:color="auto"/>
            </w:tcBorders>
            <w:shd w:val="clear" w:color="auto" w:fill="auto"/>
            <w:noWrap/>
            <w:vAlign w:val="bottom"/>
            <w:hideMark/>
          </w:tcPr>
          <w:p w14:paraId="689CEEF1"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ab192890</w:t>
            </w:r>
          </w:p>
        </w:tc>
      </w:tr>
      <w:tr w:rsidR="00CD5C19" w:rsidRPr="007A46F7" w14:paraId="58FCAC6A" w14:textId="77777777" w:rsidTr="000257F5">
        <w:trPr>
          <w:trHeight w:val="340"/>
        </w:trPr>
        <w:tc>
          <w:tcPr>
            <w:tcW w:w="1300" w:type="dxa"/>
            <w:tcBorders>
              <w:top w:val="nil"/>
              <w:left w:val="single" w:sz="8" w:space="0" w:color="auto"/>
              <w:bottom w:val="single" w:sz="8" w:space="0" w:color="auto"/>
              <w:right w:val="nil"/>
            </w:tcBorders>
            <w:shd w:val="clear" w:color="000000" w:fill="FCE4D6"/>
            <w:noWrap/>
            <w:vAlign w:val="bottom"/>
            <w:hideMark/>
          </w:tcPr>
          <w:p w14:paraId="56AF4B1F" w14:textId="77777777" w:rsidR="00CD5C19" w:rsidRPr="007A46F7" w:rsidRDefault="00CD5C19" w:rsidP="000257F5">
            <w:pPr>
              <w:rPr>
                <w:rFonts w:ascii="Calibri" w:eastAsia="Times New Roman" w:hAnsi="Calibri" w:cs="Calibri"/>
                <w:color w:val="000000"/>
                <w:lang w:eastAsia="en-GB"/>
              </w:rPr>
            </w:pPr>
            <w:r>
              <w:rPr>
                <w:rFonts w:ascii="Calibri" w:eastAsia="Times New Roman" w:hAnsi="Calibri" w:cs="Calibri"/>
                <w:color w:val="000000"/>
                <w:lang w:eastAsia="en-GB"/>
              </w:rPr>
              <w:t>P</w:t>
            </w:r>
            <w:r w:rsidRPr="007A46F7">
              <w:rPr>
                <w:rFonts w:ascii="Calibri" w:eastAsia="Times New Roman" w:hAnsi="Calibri" w:cs="Calibri"/>
                <w:color w:val="000000"/>
                <w:lang w:eastAsia="en-GB"/>
              </w:rPr>
              <w:t>62</w:t>
            </w:r>
          </w:p>
        </w:tc>
        <w:tc>
          <w:tcPr>
            <w:tcW w:w="1300" w:type="dxa"/>
            <w:tcBorders>
              <w:top w:val="nil"/>
              <w:left w:val="single" w:sz="8" w:space="0" w:color="auto"/>
              <w:bottom w:val="single" w:sz="8" w:space="0" w:color="auto"/>
              <w:right w:val="single" w:sz="8" w:space="0" w:color="auto"/>
            </w:tcBorders>
            <w:shd w:val="clear" w:color="000000" w:fill="FCE4D6"/>
            <w:noWrap/>
            <w:vAlign w:val="bottom"/>
            <w:hideMark/>
          </w:tcPr>
          <w:p w14:paraId="1DE1C7C5"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Mouse</w:t>
            </w:r>
          </w:p>
        </w:tc>
        <w:tc>
          <w:tcPr>
            <w:tcW w:w="1785" w:type="dxa"/>
            <w:tcBorders>
              <w:top w:val="nil"/>
              <w:left w:val="nil"/>
              <w:bottom w:val="single" w:sz="8" w:space="0" w:color="auto"/>
              <w:right w:val="single" w:sz="8" w:space="0" w:color="auto"/>
            </w:tcBorders>
            <w:shd w:val="clear" w:color="000000" w:fill="FCE4D6"/>
            <w:noWrap/>
            <w:vAlign w:val="bottom"/>
            <w:hideMark/>
          </w:tcPr>
          <w:p w14:paraId="79B98C6E"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Abcam</w:t>
            </w:r>
          </w:p>
        </w:tc>
        <w:tc>
          <w:tcPr>
            <w:tcW w:w="1559" w:type="dxa"/>
            <w:tcBorders>
              <w:top w:val="nil"/>
              <w:left w:val="nil"/>
              <w:bottom w:val="single" w:sz="8" w:space="0" w:color="auto"/>
              <w:right w:val="single" w:sz="8" w:space="0" w:color="auto"/>
            </w:tcBorders>
            <w:shd w:val="clear" w:color="000000" w:fill="FCE4D6"/>
            <w:noWrap/>
            <w:vAlign w:val="bottom"/>
            <w:hideMark/>
          </w:tcPr>
          <w:p w14:paraId="5E4D5D2F" w14:textId="77777777" w:rsidR="00CD5C19" w:rsidRPr="007A46F7" w:rsidRDefault="00CD5C19" w:rsidP="000257F5">
            <w:pPr>
              <w:rPr>
                <w:rFonts w:ascii="Calibri" w:eastAsia="Times New Roman" w:hAnsi="Calibri" w:cs="Calibri"/>
                <w:color w:val="000000"/>
                <w:lang w:eastAsia="en-GB"/>
              </w:rPr>
            </w:pPr>
            <w:r w:rsidRPr="007A46F7">
              <w:rPr>
                <w:rFonts w:ascii="Calibri" w:eastAsia="Times New Roman" w:hAnsi="Calibri" w:cs="Calibri"/>
                <w:color w:val="000000"/>
                <w:lang w:eastAsia="en-GB"/>
              </w:rPr>
              <w:t>ab56416</w:t>
            </w:r>
          </w:p>
        </w:tc>
      </w:tr>
    </w:tbl>
    <w:p w14:paraId="706F3E43" w14:textId="77777777" w:rsidR="00CD5C19" w:rsidRPr="00ED362E" w:rsidRDefault="00CD5C19" w:rsidP="00CD5C19">
      <w:r>
        <w:t>* These antibodies are included to identify desired cell populations and can be substituted as required for different differentiation protocols.</w:t>
      </w:r>
    </w:p>
    <w:p w14:paraId="76B495C9" w14:textId="77777777" w:rsidR="00CD5C19" w:rsidRDefault="00CD5C19" w:rsidP="00CD5C19">
      <w:pPr>
        <w:pStyle w:val="Heading3"/>
      </w:pPr>
      <w:r>
        <w:lastRenderedPageBreak/>
        <w:t xml:space="preserve">solutions </w:t>
      </w:r>
    </w:p>
    <w:p w14:paraId="08E32D32" w14:textId="77777777" w:rsidR="00CD5C19" w:rsidRDefault="00CD5C19" w:rsidP="00CD5C19">
      <w:r>
        <w:t>fixing solution: 4% PFA in 1xPBS</w:t>
      </w:r>
    </w:p>
    <w:p w14:paraId="0E497D4E" w14:textId="77777777" w:rsidR="00CD5C19" w:rsidRDefault="00CD5C19" w:rsidP="00CD5C19">
      <w:r>
        <w:t>Blocking buffer: 3% BSA + 0.1% Triton X-100 in 1 x PBS</w:t>
      </w:r>
    </w:p>
    <w:p w14:paraId="3458DE45" w14:textId="77777777" w:rsidR="00CD5C19" w:rsidRDefault="00CD5C19" w:rsidP="00CD5C19">
      <w:r>
        <w:t>Permeabilization buffer: 0.3% Triton X-100 in 1 x PBS</w:t>
      </w:r>
    </w:p>
    <w:p w14:paraId="5053DB1A" w14:textId="77777777" w:rsidR="00CD5C19" w:rsidRDefault="00CD5C19" w:rsidP="00CD5C19">
      <w:r>
        <w:t>Antibodies dilution solution: antibodies are prepared in blocking buffer</w:t>
      </w:r>
    </w:p>
    <w:p w14:paraId="3C094CB6" w14:textId="77777777" w:rsidR="00CD5C19" w:rsidRPr="00873F1C" w:rsidRDefault="00CD5C19" w:rsidP="00CD5C19">
      <w:r>
        <w:t>Washing solution: 1x PBS</w:t>
      </w:r>
    </w:p>
    <w:p w14:paraId="4BD0BAE8" w14:textId="77777777" w:rsidR="00CD5C19" w:rsidRDefault="00CD5C19" w:rsidP="00CD5C19">
      <w:pPr>
        <w:pStyle w:val="Heading3"/>
      </w:pPr>
      <w:r>
        <w:t>Material input (animal, cell, tissue, fraction details)</w:t>
      </w:r>
    </w:p>
    <w:p w14:paraId="410A80F8" w14:textId="0AC6B69F" w:rsidR="00E75118" w:rsidRDefault="00CD5C19" w:rsidP="00E75118">
      <w:r>
        <w:t xml:space="preserve">This protocol can be applied to different cell types for the assessment of lysosomal functions. Here we apply it to induced pluripotent stem cells differentiated into Ventral Medial Dopaminergic neurons (protocol available at </w:t>
      </w:r>
      <w:hyperlink r:id="rId8" w:tgtFrame="_blank" w:history="1">
        <w:r>
          <w:rPr>
            <w:rStyle w:val="Hyperlink"/>
            <w:rFonts w:ascii="Calibri" w:hAnsi="Calibri" w:cs="Calibri"/>
            <w:bdr w:val="none" w:sz="0" w:space="0" w:color="auto" w:frame="1"/>
          </w:rPr>
          <w:t>10.17504/protocols.io.bu7ynzpw</w:t>
        </w:r>
      </w:hyperlink>
      <w:r>
        <w:t xml:space="preserve">) or cortical neurons (protocol available at </w:t>
      </w:r>
      <w:hyperlink r:id="rId9" w:tgtFrame="_blank" w:history="1">
        <w:r>
          <w:rPr>
            <w:rStyle w:val="Hyperlink"/>
            <w:rFonts w:ascii="Calibri" w:hAnsi="Calibri" w:cs="Calibri"/>
            <w:bdr w:val="none" w:sz="0" w:space="0" w:color="auto" w:frame="1"/>
          </w:rPr>
          <w:t>10.17504/protocols.io.bu6znzf6</w:t>
        </w:r>
      </w:hyperlink>
      <w:r>
        <w:t xml:space="preserve">). Cortical neurons were cultured until </w:t>
      </w:r>
      <w:proofErr w:type="gramStart"/>
      <w:r>
        <w:t>DIV50</w:t>
      </w:r>
      <w:proofErr w:type="gramEnd"/>
      <w:r>
        <w:t xml:space="preserve"> and ventral medial dopaminergic neurons cultured until DIV40.</w:t>
      </w:r>
      <w:r w:rsidDel="00755A7F">
        <w:t xml:space="preserve"> </w:t>
      </w:r>
    </w:p>
    <w:p w14:paraId="613DA69C" w14:textId="73018B01" w:rsidR="000E4E4F" w:rsidRDefault="000E4E4F" w:rsidP="000E4E4F">
      <w:pPr>
        <w:pStyle w:val="Heading3"/>
      </w:pPr>
      <w:r>
        <w:t>Experimental Outline</w:t>
      </w:r>
    </w:p>
    <w:p w14:paraId="2349E5C7" w14:textId="77777777" w:rsidR="00EB08A2" w:rsidRDefault="00EB08A2" w:rsidP="00EB08A2">
      <w:r>
        <w:t>Cells are seeded at 30-50k cells/well and maintained in cell culture media until the desired experimental endpoint. Initial plating densities should be optimized for each cell type or cell line to provide optimal survival rates, morphology, and differentiation at final timepoint.</w:t>
      </w:r>
    </w:p>
    <w:p w14:paraId="6500BC9C" w14:textId="77777777" w:rsidR="00EB08A2" w:rsidRDefault="00EB08A2" w:rsidP="00EB08A2">
      <w:r>
        <w:t>When cells are ready to be stained, the protocol diverges into 2 separate series of steps:</w:t>
      </w:r>
    </w:p>
    <w:p w14:paraId="6850AB26" w14:textId="77777777" w:rsidR="00EB08A2" w:rsidRPr="00EB08A2" w:rsidRDefault="00EB08A2" w:rsidP="00EB08A2">
      <w:pPr>
        <w:pStyle w:val="ListParagraph"/>
        <w:numPr>
          <w:ilvl w:val="0"/>
          <w:numId w:val="3"/>
        </w:numPr>
        <w:ind w:left="0"/>
        <w:rPr>
          <w:b/>
          <w:bCs/>
        </w:rPr>
      </w:pPr>
      <w:r w:rsidRPr="00EB08A2">
        <w:rPr>
          <w:b/>
          <w:bCs/>
        </w:rPr>
        <w:t>Probing and imaging live cells</w:t>
      </w:r>
    </w:p>
    <w:p w14:paraId="79C2C205" w14:textId="77777777" w:rsidR="00EB08A2" w:rsidRPr="00EB08A2" w:rsidRDefault="00EB08A2" w:rsidP="00EB08A2">
      <w:pPr>
        <w:pStyle w:val="ListParagraph"/>
        <w:numPr>
          <w:ilvl w:val="0"/>
          <w:numId w:val="3"/>
        </w:numPr>
        <w:ind w:left="0"/>
        <w:rPr>
          <w:b/>
          <w:bCs/>
        </w:rPr>
      </w:pPr>
      <w:r w:rsidRPr="00EB08A2">
        <w:rPr>
          <w:b/>
          <w:bCs/>
        </w:rPr>
        <w:t>Treating, staining, and imaging fixed cells.</w:t>
      </w:r>
    </w:p>
    <w:p w14:paraId="3F9A2544" w14:textId="77777777" w:rsidR="00EB08A2" w:rsidRDefault="00EB08A2" w:rsidP="00EB08A2"/>
    <w:p w14:paraId="17946777" w14:textId="77777777" w:rsidR="00EB08A2" w:rsidRPr="00EB08A2" w:rsidRDefault="00EB08A2" w:rsidP="00EB08A2">
      <w:pPr>
        <w:pStyle w:val="ListParagraph"/>
        <w:numPr>
          <w:ilvl w:val="0"/>
          <w:numId w:val="4"/>
        </w:numPr>
        <w:ind w:left="0"/>
        <w:rPr>
          <w:b/>
          <w:bCs/>
        </w:rPr>
      </w:pPr>
      <w:r w:rsidRPr="00EB08A2">
        <w:rPr>
          <w:b/>
          <w:bCs/>
        </w:rPr>
        <w:t>Live cells experimental outline:</w:t>
      </w:r>
    </w:p>
    <w:p w14:paraId="3351F7D4" w14:textId="77777777" w:rsidR="00EB08A2" w:rsidRDefault="00EB08A2" w:rsidP="00EB08A2">
      <w:pPr>
        <w:pStyle w:val="ListParagraph"/>
        <w:numPr>
          <w:ilvl w:val="0"/>
          <w:numId w:val="2"/>
        </w:numPr>
        <w:spacing w:after="0" w:line="240" w:lineRule="auto"/>
        <w:ind w:left="0"/>
      </w:pPr>
      <w:r>
        <w:t xml:space="preserve">Prepare: DQ-red-BSA 1:100, </w:t>
      </w:r>
      <w:proofErr w:type="spellStart"/>
      <w:r>
        <w:t>Cytopainter</w:t>
      </w:r>
      <w:proofErr w:type="spellEnd"/>
      <w:r>
        <w:t xml:space="preserve"> green cell proliferation reagent 1:500 and Hoechst 1:100 in complete cell culture media.</w:t>
      </w:r>
    </w:p>
    <w:p w14:paraId="6A9D5150" w14:textId="77777777" w:rsidR="00EB08A2" w:rsidRPr="00DF0294" w:rsidRDefault="00EB08A2" w:rsidP="00EB08A2">
      <w:pPr>
        <w:pStyle w:val="ListParagraph"/>
        <w:numPr>
          <w:ilvl w:val="0"/>
          <w:numId w:val="2"/>
        </w:numPr>
        <w:spacing w:after="0" w:line="240" w:lineRule="auto"/>
        <w:ind w:left="0"/>
      </w:pPr>
      <w:r w:rsidRPr="00DF0294">
        <w:t>Alternatively</w:t>
      </w:r>
      <w:r w:rsidRPr="001528EC">
        <w:t xml:space="preserve"> prepare: </w:t>
      </w:r>
      <w:proofErr w:type="spellStart"/>
      <w:r w:rsidRPr="001528EC">
        <w:t>Mitotracker</w:t>
      </w:r>
      <w:proofErr w:type="spellEnd"/>
      <w:r>
        <w:t xml:space="preserve"> 1:10.000, Lysosomal staining 1:500, </w:t>
      </w:r>
      <w:proofErr w:type="spellStart"/>
      <w:r>
        <w:t>Cytopainter</w:t>
      </w:r>
      <w:proofErr w:type="spellEnd"/>
      <w:r>
        <w:t xml:space="preserve"> 1:500 and Hoechst 1:100 in complete cell culture media.</w:t>
      </w:r>
    </w:p>
    <w:p w14:paraId="304546FA" w14:textId="77777777" w:rsidR="00EB08A2" w:rsidRDefault="00EB08A2" w:rsidP="00EB08A2">
      <w:pPr>
        <w:pStyle w:val="ListParagraph"/>
        <w:numPr>
          <w:ilvl w:val="0"/>
          <w:numId w:val="2"/>
        </w:numPr>
        <w:spacing w:after="0" w:line="240" w:lineRule="auto"/>
        <w:ind w:left="0"/>
      </w:pPr>
      <w:r>
        <w:t>Gently replace cell culture media on the cells with the prepared solution (100ul/well)</w:t>
      </w:r>
    </w:p>
    <w:p w14:paraId="6CC0A149" w14:textId="21E3B92F" w:rsidR="00EB08A2" w:rsidRDefault="00EB08A2" w:rsidP="00EB08A2">
      <w:pPr>
        <w:pStyle w:val="ListParagraph"/>
        <w:numPr>
          <w:ilvl w:val="0"/>
          <w:numId w:val="2"/>
        </w:numPr>
        <w:spacing w:after="0" w:line="240" w:lineRule="auto"/>
        <w:ind w:left="0"/>
      </w:pPr>
      <w:r>
        <w:t xml:space="preserve">Cells are imaged 15, 45 and 90 minutes after adding the probes using the Opera </w:t>
      </w:r>
      <w:proofErr w:type="spellStart"/>
      <w:r>
        <w:t>Phenix</w:t>
      </w:r>
      <w:proofErr w:type="spellEnd"/>
      <w:r>
        <w:t xml:space="preserve"> high-content screening system. Hoechst, Alexa488 and Alexa561 Laser/filter pairs are used for DQ-red BSA treatment imaging. Hoechst, Alexa488, Alexa561 and Alexa647 laser/filter pairs are used to image </w:t>
      </w:r>
      <w:proofErr w:type="spellStart"/>
      <w:r>
        <w:t>Mitotracker</w:t>
      </w:r>
      <w:proofErr w:type="spellEnd"/>
      <w:r>
        <w:t>/Lysosomal probes.</w:t>
      </w:r>
    </w:p>
    <w:p w14:paraId="38441605" w14:textId="77777777" w:rsidR="00EB08A2" w:rsidRDefault="00EB08A2" w:rsidP="00EB08A2">
      <w:pPr>
        <w:pStyle w:val="ListParagraph"/>
        <w:spacing w:after="0" w:line="240" w:lineRule="auto"/>
        <w:ind w:left="0"/>
      </w:pPr>
    </w:p>
    <w:p w14:paraId="2DB703E6" w14:textId="77777777" w:rsidR="00EB08A2" w:rsidRDefault="00EB08A2" w:rsidP="00EB08A2">
      <w:pPr>
        <w:pStyle w:val="ListParagraph"/>
        <w:numPr>
          <w:ilvl w:val="0"/>
          <w:numId w:val="2"/>
        </w:numPr>
        <w:spacing w:after="0" w:line="240" w:lineRule="auto"/>
      </w:pPr>
      <w:r>
        <w:t>Suggested Imaging conditions:</w:t>
      </w:r>
    </w:p>
    <w:p w14:paraId="34F85DC3" w14:textId="1BB6A785" w:rsidR="00EB08A2" w:rsidRPr="000D19D2" w:rsidRDefault="00EB08A2" w:rsidP="00EB08A2">
      <w:pPr>
        <w:pStyle w:val="ListParagraph"/>
        <w:spacing w:after="0" w:line="240" w:lineRule="auto"/>
      </w:pPr>
      <w:r w:rsidRPr="000D19D2">
        <w:t xml:space="preserve"> 40x water objective, 3 z-steps, at least 25 fields of view, imaging done in cell culture conditions (37</w:t>
      </w:r>
      <w:r w:rsidRPr="000D19D2">
        <w:rPr>
          <w:rFonts w:cstheme="minorHAnsi"/>
        </w:rPr>
        <w:t>°</w:t>
      </w:r>
      <w:r w:rsidRPr="000D19D2">
        <w:t xml:space="preserve">C, 5% CO2). </w:t>
      </w:r>
    </w:p>
    <w:p w14:paraId="3731DF93" w14:textId="77777777" w:rsidR="00EB08A2" w:rsidRPr="000D19D2" w:rsidRDefault="00EB08A2" w:rsidP="00EB08A2">
      <w:pPr>
        <w:pStyle w:val="ListParagraph"/>
        <w:spacing w:after="0" w:line="240" w:lineRule="auto"/>
      </w:pPr>
      <w:r w:rsidRPr="000D19D2">
        <w:t>Note: 40x objective is needed to obtain enough detail for accurate Lysosome-Mitophagy analysis. Z-step and fields of view are selected to obtain enough images without compromising the time it takes to finish a round of imaging.</w:t>
      </w:r>
    </w:p>
    <w:p w14:paraId="0F5AED29" w14:textId="77777777" w:rsidR="00EB08A2" w:rsidRDefault="00EB08A2" w:rsidP="00EB08A2">
      <w:pPr>
        <w:spacing w:after="0" w:line="240" w:lineRule="auto"/>
      </w:pPr>
    </w:p>
    <w:p w14:paraId="2E4900CF" w14:textId="77777777" w:rsidR="00EB08A2" w:rsidRDefault="00EB08A2" w:rsidP="00EB08A2">
      <w:pPr>
        <w:spacing w:after="0" w:line="240" w:lineRule="auto"/>
      </w:pPr>
    </w:p>
    <w:p w14:paraId="41B0C08B" w14:textId="77777777" w:rsidR="00EB08A2" w:rsidRDefault="00EB08A2" w:rsidP="00EB08A2">
      <w:pPr>
        <w:spacing w:after="0" w:line="240" w:lineRule="auto"/>
      </w:pPr>
    </w:p>
    <w:p w14:paraId="34D768F1" w14:textId="1F07A411" w:rsidR="00EB08A2" w:rsidRDefault="00EB08A2" w:rsidP="00EB08A2">
      <w:pPr>
        <w:pStyle w:val="ListParagraph"/>
        <w:numPr>
          <w:ilvl w:val="0"/>
          <w:numId w:val="4"/>
        </w:numPr>
        <w:spacing w:after="0" w:line="240" w:lineRule="auto"/>
        <w:ind w:left="0"/>
        <w:rPr>
          <w:b/>
          <w:bCs/>
        </w:rPr>
      </w:pPr>
      <w:r w:rsidRPr="00EB08A2">
        <w:rPr>
          <w:b/>
          <w:bCs/>
        </w:rPr>
        <w:t>Fixed cells experimental outline</w:t>
      </w:r>
      <w:r w:rsidRPr="00EB08A2">
        <w:rPr>
          <w:b/>
          <w:bCs/>
        </w:rPr>
        <w:t>:</w:t>
      </w:r>
    </w:p>
    <w:p w14:paraId="032DD5C1" w14:textId="77777777" w:rsidR="00EB08A2" w:rsidRPr="00EB08A2" w:rsidRDefault="00EB08A2" w:rsidP="00EB08A2">
      <w:pPr>
        <w:pStyle w:val="ListParagraph"/>
        <w:spacing w:after="0" w:line="240" w:lineRule="auto"/>
        <w:ind w:left="0"/>
        <w:rPr>
          <w:b/>
          <w:bCs/>
        </w:rPr>
      </w:pPr>
    </w:p>
    <w:p w14:paraId="46E1B43A" w14:textId="77777777" w:rsidR="00EB08A2" w:rsidRPr="00EB08A2" w:rsidRDefault="00EB08A2" w:rsidP="00EB08A2">
      <w:pPr>
        <w:pStyle w:val="ListParagraph"/>
        <w:spacing w:after="0" w:line="240" w:lineRule="auto"/>
        <w:ind w:left="0"/>
        <w:rPr>
          <w:u w:val="single"/>
        </w:rPr>
      </w:pPr>
      <w:r w:rsidRPr="00EB08A2">
        <w:rPr>
          <w:u w:val="single"/>
        </w:rPr>
        <w:t xml:space="preserve">Step 1: (bafilomycin treatment and fixation) </w:t>
      </w:r>
    </w:p>
    <w:p w14:paraId="5BCBE445" w14:textId="77777777" w:rsidR="00EB08A2" w:rsidRDefault="00EB08A2" w:rsidP="00EB08A2">
      <w:pPr>
        <w:pStyle w:val="ListParagraph"/>
        <w:numPr>
          <w:ilvl w:val="0"/>
          <w:numId w:val="2"/>
        </w:numPr>
        <w:spacing w:after="0" w:line="240" w:lineRule="auto"/>
        <w:ind w:left="0"/>
      </w:pPr>
      <w:r>
        <w:t>To treat the cells, cell culture media is replaced with 150</w:t>
      </w:r>
      <w:r w:rsidRPr="00E53761">
        <w:rPr>
          <w:rFonts w:ascii="Symbol" w:hAnsi="Symbol"/>
        </w:rPr>
        <w:t>m</w:t>
      </w:r>
      <w:r>
        <w:t>l media containing 400nM bafilomycin A1, and incubated at 37</w:t>
      </w:r>
      <w:r>
        <w:rPr>
          <w:rFonts w:cstheme="minorHAnsi"/>
        </w:rPr>
        <w:t>°</w:t>
      </w:r>
      <w:r>
        <w:t xml:space="preserve">C, 5%CO2 for 4 hours. </w:t>
      </w:r>
    </w:p>
    <w:p w14:paraId="380104AE" w14:textId="77777777" w:rsidR="00EB08A2" w:rsidRDefault="00EB08A2" w:rsidP="00EB08A2">
      <w:pPr>
        <w:pStyle w:val="ListParagraph"/>
        <w:numPr>
          <w:ilvl w:val="0"/>
          <w:numId w:val="2"/>
        </w:numPr>
        <w:spacing w:after="0" w:line="240" w:lineRule="auto"/>
        <w:ind w:left="0"/>
      </w:pPr>
      <w:r>
        <w:t>After 4h cells are fixed in 2 steps to avoid detachment:</w:t>
      </w:r>
    </w:p>
    <w:p w14:paraId="1A1D6A58" w14:textId="77777777" w:rsidR="00EB08A2" w:rsidRDefault="00EB08A2" w:rsidP="00EB08A2">
      <w:pPr>
        <w:pStyle w:val="ListParagraph"/>
        <w:numPr>
          <w:ilvl w:val="0"/>
          <w:numId w:val="2"/>
        </w:numPr>
        <w:spacing w:after="0" w:line="240" w:lineRule="auto"/>
        <w:ind w:left="0"/>
      </w:pPr>
      <w:r>
        <w:t xml:space="preserve">Remove 75µl of the culture media and replace with the same volume of 4% PFA, incubate at room temperature in the dark for 10 minutes. </w:t>
      </w:r>
    </w:p>
    <w:p w14:paraId="7585715B" w14:textId="77777777" w:rsidR="00EB08A2" w:rsidRDefault="00EB08A2" w:rsidP="00EB08A2">
      <w:pPr>
        <w:pStyle w:val="ListParagraph"/>
        <w:numPr>
          <w:ilvl w:val="0"/>
          <w:numId w:val="2"/>
        </w:numPr>
        <w:spacing w:after="0" w:line="240" w:lineRule="auto"/>
        <w:ind w:left="0"/>
      </w:pPr>
      <w:r>
        <w:t>Remove mixture of cell culture media and PFA gently and replace with 70 µl of 4% PFA and incubate for 15 minutes.</w:t>
      </w:r>
    </w:p>
    <w:p w14:paraId="1B5AA387" w14:textId="77777777" w:rsidR="00EB08A2" w:rsidRDefault="00EB08A2" w:rsidP="00EB08A2">
      <w:pPr>
        <w:pStyle w:val="ListParagraph"/>
        <w:numPr>
          <w:ilvl w:val="0"/>
          <w:numId w:val="2"/>
        </w:numPr>
        <w:spacing w:after="0" w:line="240" w:lineRule="auto"/>
        <w:ind w:left="0"/>
      </w:pPr>
      <w:r>
        <w:t>Remove PFA solution and gently wash with 1x PBS.</w:t>
      </w:r>
    </w:p>
    <w:p w14:paraId="7F402212" w14:textId="77777777" w:rsidR="00EB08A2" w:rsidRDefault="00EB08A2" w:rsidP="00EB08A2">
      <w:pPr>
        <w:pStyle w:val="ListParagraph"/>
        <w:spacing w:after="0" w:line="240" w:lineRule="auto"/>
        <w:ind w:left="0"/>
      </w:pPr>
      <w:r>
        <w:t>Cells can be stored in PBS at 4</w:t>
      </w:r>
      <w:r>
        <w:rPr>
          <w:rFonts w:cstheme="minorHAnsi"/>
        </w:rPr>
        <w:t>°</w:t>
      </w:r>
      <w:r>
        <w:t>C before commencing staining. (At this point plates can be used for later steps of permeabilization, blocking and staining or can be stored at 4</w:t>
      </w:r>
      <w:r w:rsidRPr="00985629">
        <w:rPr>
          <w:rFonts w:cstheme="minorHAnsi"/>
        </w:rPr>
        <w:t>°</w:t>
      </w:r>
      <w:r>
        <w:t>C in the dark for several days).</w:t>
      </w:r>
    </w:p>
    <w:p w14:paraId="5A67F6F0" w14:textId="77777777" w:rsidR="00EB08A2" w:rsidRDefault="00EB08A2" w:rsidP="00EB08A2">
      <w:pPr>
        <w:pStyle w:val="ListParagraph"/>
        <w:spacing w:after="0" w:line="240" w:lineRule="auto"/>
        <w:ind w:left="0"/>
      </w:pPr>
    </w:p>
    <w:p w14:paraId="61792C54" w14:textId="77777777" w:rsidR="00EB08A2" w:rsidRDefault="00EB08A2" w:rsidP="00EB08A2">
      <w:pPr>
        <w:pStyle w:val="ListParagraph"/>
        <w:spacing w:after="0" w:line="240" w:lineRule="auto"/>
        <w:ind w:left="0"/>
      </w:pPr>
      <w:r w:rsidRPr="00EB08A2">
        <w:rPr>
          <w:u w:val="single"/>
        </w:rPr>
        <w:t>Step 2 staining with primary antibodies</w:t>
      </w:r>
      <w:r>
        <w:t>:</w:t>
      </w:r>
    </w:p>
    <w:p w14:paraId="00A675E0" w14:textId="77777777" w:rsidR="00EB08A2" w:rsidRDefault="00EB08A2" w:rsidP="00EB08A2">
      <w:pPr>
        <w:pStyle w:val="ListParagraph"/>
        <w:numPr>
          <w:ilvl w:val="0"/>
          <w:numId w:val="2"/>
        </w:numPr>
        <w:ind w:left="0"/>
      </w:pPr>
      <w:r>
        <w:t>Discard 1x PBS solution from wells and add permeabilization buffer (100 µl per well), incubate for 20 minutes.</w:t>
      </w:r>
    </w:p>
    <w:p w14:paraId="0D04C04F" w14:textId="77777777" w:rsidR="00EB08A2" w:rsidRDefault="00EB08A2" w:rsidP="00EB08A2">
      <w:pPr>
        <w:pStyle w:val="ListParagraph"/>
        <w:numPr>
          <w:ilvl w:val="0"/>
          <w:numId w:val="2"/>
        </w:numPr>
        <w:ind w:left="0"/>
      </w:pPr>
      <w:r>
        <w:t>Discard permeabilization buffer and add blocking buffer (100 µl per well), incubate for 1 hour.</w:t>
      </w:r>
    </w:p>
    <w:p w14:paraId="0A525771" w14:textId="77777777" w:rsidR="00EB08A2" w:rsidRDefault="00EB08A2" w:rsidP="00EB08A2">
      <w:pPr>
        <w:pStyle w:val="ListParagraph"/>
        <w:numPr>
          <w:ilvl w:val="0"/>
          <w:numId w:val="2"/>
        </w:numPr>
        <w:ind w:left="0"/>
      </w:pPr>
      <w:r>
        <w:t>Prepare antibody combinations to desired final concentrations in blocking buffer, discard blocking buffer from plates and replace with primary antibody dilutions, incubate overnight at 4</w:t>
      </w:r>
      <w:r>
        <w:rPr>
          <w:rFonts w:cstheme="minorHAnsi"/>
        </w:rPr>
        <w:t>°</w:t>
      </w:r>
      <w:r>
        <w:t>C.</w:t>
      </w:r>
    </w:p>
    <w:p w14:paraId="13F146A2" w14:textId="77777777" w:rsidR="00EB08A2" w:rsidRDefault="00EB08A2" w:rsidP="00EB08A2">
      <w:pPr>
        <w:pStyle w:val="ListParagraph"/>
        <w:numPr>
          <w:ilvl w:val="0"/>
          <w:numId w:val="2"/>
        </w:numPr>
        <w:ind w:left="0"/>
      </w:pPr>
      <w:r>
        <w:t>Wash cells with 1x PBS for 5 minutes (3 times)</w:t>
      </w:r>
    </w:p>
    <w:p w14:paraId="2A2F7601" w14:textId="77777777" w:rsidR="00EB08A2" w:rsidRDefault="00EB08A2" w:rsidP="00EB08A2">
      <w:pPr>
        <w:pStyle w:val="ListParagraph"/>
        <w:numPr>
          <w:ilvl w:val="0"/>
          <w:numId w:val="2"/>
        </w:numPr>
        <w:ind w:left="0"/>
      </w:pPr>
      <w:r>
        <w:t>Add secondary antibodies diluted (1:500) in blocking buffer to cells (100 µl per well), incubate for 1 hour at room temperature.</w:t>
      </w:r>
    </w:p>
    <w:p w14:paraId="79CEC895" w14:textId="77777777" w:rsidR="00EB08A2" w:rsidRDefault="00EB08A2" w:rsidP="00EB08A2">
      <w:pPr>
        <w:pStyle w:val="ListParagraph"/>
        <w:numPr>
          <w:ilvl w:val="0"/>
          <w:numId w:val="2"/>
        </w:numPr>
        <w:ind w:left="0"/>
      </w:pPr>
      <w:r>
        <w:t>Wash cells with 1x PBS for 5 minutes (2 times).</w:t>
      </w:r>
    </w:p>
    <w:p w14:paraId="0CF1F7E0" w14:textId="77777777" w:rsidR="00EB08A2" w:rsidRDefault="00EB08A2" w:rsidP="00EB08A2">
      <w:pPr>
        <w:pStyle w:val="ListParagraph"/>
        <w:numPr>
          <w:ilvl w:val="0"/>
          <w:numId w:val="2"/>
        </w:numPr>
        <w:ind w:left="0"/>
      </w:pPr>
      <w:r>
        <w:t>Add 1x PBS with DAPI, incubate for at least 7 minutes.</w:t>
      </w:r>
    </w:p>
    <w:p w14:paraId="2C37D31A" w14:textId="77777777" w:rsidR="00EB08A2" w:rsidRDefault="00EB08A2" w:rsidP="00EB08A2">
      <w:pPr>
        <w:pStyle w:val="ListParagraph"/>
        <w:numPr>
          <w:ilvl w:val="0"/>
          <w:numId w:val="2"/>
        </w:numPr>
        <w:ind w:left="0"/>
      </w:pPr>
      <w:r>
        <w:t>Wash cells with 1x PBS, leave in 200 µl of 1x PBS per well to avoid drying out.</w:t>
      </w:r>
    </w:p>
    <w:p w14:paraId="722D400D" w14:textId="2B56639A" w:rsidR="00EB08A2" w:rsidRDefault="00EB08A2" w:rsidP="00EB08A2">
      <w:pPr>
        <w:pStyle w:val="ListParagraph"/>
        <w:numPr>
          <w:ilvl w:val="0"/>
          <w:numId w:val="2"/>
        </w:numPr>
        <w:ind w:left="0"/>
      </w:pPr>
      <w:r>
        <w:t>Plates are now ready to be imaged.</w:t>
      </w:r>
    </w:p>
    <w:p w14:paraId="33215C6E" w14:textId="77777777" w:rsidR="00EB08A2" w:rsidRDefault="00EB08A2" w:rsidP="00EB08A2">
      <w:pPr>
        <w:pStyle w:val="ListParagraph"/>
        <w:numPr>
          <w:ilvl w:val="0"/>
          <w:numId w:val="2"/>
        </w:numPr>
      </w:pPr>
      <w:r>
        <w:t xml:space="preserve">Suggested </w:t>
      </w:r>
      <w:r w:rsidRPr="000D19D2">
        <w:t xml:space="preserve">Imaging conditions: </w:t>
      </w:r>
    </w:p>
    <w:p w14:paraId="72CD9CD0" w14:textId="2918AFEA" w:rsidR="00EB08A2" w:rsidRDefault="00EB08A2" w:rsidP="00EB08A2">
      <w:pPr>
        <w:pStyle w:val="ListParagraph"/>
      </w:pPr>
      <w:r w:rsidRPr="000D19D2">
        <w:t>40x water objective, 10 z-steps (0.5</w:t>
      </w:r>
      <w:r w:rsidRPr="00EB08A2">
        <w:rPr>
          <w:rFonts w:ascii="Symbol" w:hAnsi="Symbol"/>
        </w:rPr>
        <w:t>m</w:t>
      </w:r>
      <w:r w:rsidRPr="000D19D2">
        <w:t>m step size as recommended by the manufacturer), at least 46 fields of view per well (covering 16% of the well’s area).</w:t>
      </w:r>
    </w:p>
    <w:p w14:paraId="1D3E9888" w14:textId="5505BA51" w:rsidR="000E4E4F" w:rsidRDefault="00EB08A2" w:rsidP="00EB08A2">
      <w:r w:rsidRPr="000D19D2">
        <w:t>Note: Imaging conditions are selected taking into consideration the detail needed (analysis of organelles need higher magnification), and the minimum number of cells needed to obtain a robust result (if the culture has very little number of cells, more fields of view could be needed).</w:t>
      </w:r>
      <w:r>
        <w:t xml:space="preserve"> Please refer to the Harmony software manual (</w:t>
      </w:r>
      <w:hyperlink r:id="rId10" w:history="1">
        <w:r w:rsidRPr="00FA0633">
          <w:rPr>
            <w:rStyle w:val="Hyperlink"/>
          </w:rPr>
          <w:t>https://www.perkinelmer.com/uk/product/harmony-4-9-office-license-hh17000010</w:t>
        </w:r>
      </w:hyperlink>
      <w:r>
        <w:t>) for assistance in setting imaging parameters.</w:t>
      </w:r>
    </w:p>
    <w:p w14:paraId="3C5C7276" w14:textId="019AD31A" w:rsidR="000E4E4F" w:rsidRDefault="000E4E4F" w:rsidP="000E4E4F">
      <w:pPr>
        <w:pStyle w:val="Heading2"/>
      </w:pPr>
      <w:r>
        <w:t>Methods section 2</w:t>
      </w:r>
    </w:p>
    <w:p w14:paraId="3B3311C4" w14:textId="77777777" w:rsidR="00360823" w:rsidRDefault="00360823" w:rsidP="00360823">
      <w:pPr>
        <w:pStyle w:val="Heading3"/>
      </w:pPr>
      <w:r>
        <w:t xml:space="preserve">Key equipment/consumables/reagents/solutions </w:t>
      </w:r>
    </w:p>
    <w:p w14:paraId="76CBF40E" w14:textId="0B2CA8C9" w:rsidR="001F42A9" w:rsidRDefault="001F42A9" w:rsidP="001F42A9"/>
    <w:p w14:paraId="462ED7A3" w14:textId="77777777" w:rsidR="000E4E4F" w:rsidRDefault="000E4E4F" w:rsidP="000E4E4F">
      <w:pPr>
        <w:pStyle w:val="Heading3"/>
      </w:pPr>
      <w:r>
        <w:t>Experimental Outline</w:t>
      </w:r>
    </w:p>
    <w:p w14:paraId="0E1358FE" w14:textId="77777777" w:rsidR="000E4E4F" w:rsidRPr="000E4E4F" w:rsidRDefault="000E4E4F" w:rsidP="000E4E4F"/>
    <w:p w14:paraId="52A2BA73" w14:textId="5DAAB5C9" w:rsidR="00EA232B" w:rsidRDefault="00EA232B" w:rsidP="00EA232B">
      <w:pPr>
        <w:pStyle w:val="Heading2"/>
      </w:pPr>
      <w:r>
        <w:lastRenderedPageBreak/>
        <w:t>Methods section 3</w:t>
      </w:r>
    </w:p>
    <w:p w14:paraId="2CB3E79E" w14:textId="77777777" w:rsidR="00360823" w:rsidRDefault="00360823" w:rsidP="00360823">
      <w:pPr>
        <w:pStyle w:val="Heading3"/>
      </w:pPr>
      <w:r>
        <w:t xml:space="preserve">Key equipment/consumables/reagents/solutions </w:t>
      </w:r>
    </w:p>
    <w:p w14:paraId="51D1408D" w14:textId="17BE2D4E" w:rsidR="001F42A9" w:rsidRDefault="001F42A9" w:rsidP="001F42A9"/>
    <w:p w14:paraId="46FCA8AE" w14:textId="77777777" w:rsidR="00EA232B" w:rsidRDefault="00EA232B" w:rsidP="00EA232B">
      <w:pPr>
        <w:pStyle w:val="Heading3"/>
      </w:pPr>
      <w:r>
        <w:t>Experimental Outline</w:t>
      </w:r>
    </w:p>
    <w:p w14:paraId="65DFFB6B" w14:textId="77777777" w:rsidR="00EA232B" w:rsidRPr="000E4E4F" w:rsidRDefault="00EA232B" w:rsidP="00EA232B"/>
    <w:p w14:paraId="0F189017" w14:textId="77777777" w:rsidR="000E4E4F" w:rsidRPr="000E4E4F" w:rsidRDefault="000E4E4F" w:rsidP="000E4E4F"/>
    <w:sectPr w:rsidR="000E4E4F" w:rsidRPr="000E4E4F" w:rsidSect="004A78BB">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F6CFD" w14:textId="77777777" w:rsidR="00BF2773" w:rsidRDefault="00BF2773" w:rsidP="00A74C6C">
      <w:pPr>
        <w:spacing w:after="0" w:line="240" w:lineRule="auto"/>
      </w:pPr>
      <w:r>
        <w:separator/>
      </w:r>
    </w:p>
  </w:endnote>
  <w:endnote w:type="continuationSeparator" w:id="0">
    <w:p w14:paraId="5C90AE69" w14:textId="77777777" w:rsidR="00BF2773" w:rsidRDefault="00BF2773" w:rsidP="00A74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4E41" w14:textId="77777777" w:rsidR="00BF2773" w:rsidRDefault="00BF2773" w:rsidP="00A74C6C">
      <w:pPr>
        <w:spacing w:after="0" w:line="240" w:lineRule="auto"/>
      </w:pPr>
      <w:r>
        <w:separator/>
      </w:r>
    </w:p>
  </w:footnote>
  <w:footnote w:type="continuationSeparator" w:id="0">
    <w:p w14:paraId="2C032CA1" w14:textId="77777777" w:rsidR="00BF2773" w:rsidRDefault="00BF2773" w:rsidP="00A74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6B40" w14:textId="711F35FC" w:rsidR="00A74C6C" w:rsidRPr="00A74C6C" w:rsidRDefault="00A74C6C" w:rsidP="004A78BB">
    <w:pPr>
      <w:ind w:right="-330"/>
      <w:rPr>
        <w:sz w:val="40"/>
        <w:szCs w:val="40"/>
      </w:rPr>
    </w:pPr>
    <w:r>
      <w:rPr>
        <w:noProof/>
        <w:sz w:val="48"/>
        <w:szCs w:val="48"/>
      </w:rPr>
      <w:drawing>
        <wp:anchor distT="0" distB="0" distL="114300" distR="114300" simplePos="0" relativeHeight="251659264" behindDoc="1" locked="0" layoutInCell="1" allowOverlap="1" wp14:anchorId="40CD012F" wp14:editId="16A48EB6">
          <wp:simplePos x="0" y="0"/>
          <wp:positionH relativeFrom="column">
            <wp:posOffset>-391160</wp:posOffset>
          </wp:positionH>
          <wp:positionV relativeFrom="paragraph">
            <wp:posOffset>-278765</wp:posOffset>
          </wp:positionV>
          <wp:extent cx="3059430" cy="904875"/>
          <wp:effectExtent l="0" t="0" r="0" b="0"/>
          <wp:wrapTight wrapText="bothSides">
            <wp:wrapPolygon edited="0">
              <wp:start x="6725" y="455"/>
              <wp:lineTo x="941" y="4547"/>
              <wp:lineTo x="269" y="5457"/>
              <wp:lineTo x="403" y="17280"/>
              <wp:lineTo x="4842" y="20008"/>
              <wp:lineTo x="6725" y="20918"/>
              <wp:lineTo x="14929" y="20918"/>
              <wp:lineTo x="20981" y="16825"/>
              <wp:lineTo x="21385" y="6366"/>
              <wp:lineTo x="14929" y="455"/>
              <wp:lineTo x="6725" y="455"/>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3059430" cy="904875"/>
                  </a:xfrm>
                  <a:prstGeom prst="rect">
                    <a:avLst/>
                  </a:prstGeom>
                </pic:spPr>
              </pic:pic>
            </a:graphicData>
          </a:graphic>
          <wp14:sizeRelH relativeFrom="margin">
            <wp14:pctWidth>0</wp14:pctWidth>
          </wp14:sizeRelH>
          <wp14:sizeRelV relativeFrom="margin">
            <wp14:pctHeight>0</wp14:pctHeight>
          </wp14:sizeRelV>
        </wp:anchor>
      </w:drawing>
    </w:r>
    <w:r w:rsidRPr="00A74C6C">
      <w:rPr>
        <w:sz w:val="40"/>
        <w:szCs w:val="40"/>
      </w:rPr>
      <w:t xml:space="preserve">ASAP </w:t>
    </w:r>
    <w:r w:rsidR="004E2CA7">
      <w:rPr>
        <w:sz w:val="40"/>
        <w:szCs w:val="40"/>
      </w:rPr>
      <w:t>protocol</w:t>
    </w:r>
    <w:r w:rsidR="004A78BB">
      <w:rPr>
        <w:sz w:val="40"/>
        <w:szCs w:val="40"/>
      </w:rPr>
      <w:t xml:space="preserve"> input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13EE"/>
    <w:multiLevelType w:val="hybridMultilevel"/>
    <w:tmpl w:val="E0AEF97C"/>
    <w:lvl w:ilvl="0" w:tplc="FF38A656">
      <w:start w:val="96"/>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6D726A"/>
    <w:multiLevelType w:val="hybridMultilevel"/>
    <w:tmpl w:val="A3EAFB0E"/>
    <w:lvl w:ilvl="0" w:tplc="57F0FF1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2866F39"/>
    <w:multiLevelType w:val="hybridMultilevel"/>
    <w:tmpl w:val="55AC139C"/>
    <w:lvl w:ilvl="0" w:tplc="A6A23BA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5E43BFF"/>
    <w:multiLevelType w:val="hybridMultilevel"/>
    <w:tmpl w:val="BEFE9A6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64847226">
    <w:abstractNumId w:val="3"/>
  </w:num>
  <w:num w:numId="2" w16cid:durableId="1158837319">
    <w:abstractNumId w:val="0"/>
  </w:num>
  <w:num w:numId="3" w16cid:durableId="206335280">
    <w:abstractNumId w:val="1"/>
  </w:num>
  <w:num w:numId="4" w16cid:durableId="533692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13E"/>
    <w:rsid w:val="00004D14"/>
    <w:rsid w:val="000E4E4F"/>
    <w:rsid w:val="000F3749"/>
    <w:rsid w:val="000F396D"/>
    <w:rsid w:val="00174E63"/>
    <w:rsid w:val="001D5FD4"/>
    <w:rsid w:val="001F42A9"/>
    <w:rsid w:val="002B0627"/>
    <w:rsid w:val="002C05E0"/>
    <w:rsid w:val="00360823"/>
    <w:rsid w:val="004A78BB"/>
    <w:rsid w:val="004E2CA7"/>
    <w:rsid w:val="005B5FB2"/>
    <w:rsid w:val="006E4AFF"/>
    <w:rsid w:val="00860B92"/>
    <w:rsid w:val="0086412F"/>
    <w:rsid w:val="00982D96"/>
    <w:rsid w:val="009F2296"/>
    <w:rsid w:val="00A74C6C"/>
    <w:rsid w:val="00AF0BCB"/>
    <w:rsid w:val="00B433C8"/>
    <w:rsid w:val="00BF2773"/>
    <w:rsid w:val="00CD5C19"/>
    <w:rsid w:val="00D66F26"/>
    <w:rsid w:val="00DD0916"/>
    <w:rsid w:val="00DE6C2C"/>
    <w:rsid w:val="00E201A7"/>
    <w:rsid w:val="00E21C14"/>
    <w:rsid w:val="00E2413E"/>
    <w:rsid w:val="00E50976"/>
    <w:rsid w:val="00E66352"/>
    <w:rsid w:val="00E75118"/>
    <w:rsid w:val="00EA232B"/>
    <w:rsid w:val="00EB08A2"/>
    <w:rsid w:val="00F53B74"/>
    <w:rsid w:val="00F57C31"/>
    <w:rsid w:val="00F83EFD"/>
    <w:rsid w:val="00FC1C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F9BA7"/>
  <w15:chartTrackingRefBased/>
  <w15:docId w15:val="{260A21AF-121B-4B4F-A554-3445C6214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4C6C"/>
    <w:pPr>
      <w:keepNext/>
      <w:keepLines/>
      <w:spacing w:before="480" w:after="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4E4F"/>
    <w:pPr>
      <w:keepNext/>
      <w:keepLines/>
      <w:spacing w:before="16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75118"/>
    <w:pPr>
      <w:keepNext/>
      <w:keepLines/>
      <w:spacing w:before="280" w:after="2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13E"/>
    <w:pPr>
      <w:ind w:left="720"/>
      <w:contextualSpacing/>
    </w:pPr>
  </w:style>
  <w:style w:type="character" w:customStyle="1" w:styleId="Heading1Char">
    <w:name w:val="Heading 1 Char"/>
    <w:basedOn w:val="DefaultParagraphFont"/>
    <w:link w:val="Heading1"/>
    <w:uiPriority w:val="9"/>
    <w:rsid w:val="00A74C6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A74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C6C"/>
  </w:style>
  <w:style w:type="paragraph" w:styleId="Footer">
    <w:name w:val="footer"/>
    <w:basedOn w:val="Normal"/>
    <w:link w:val="FooterChar"/>
    <w:uiPriority w:val="99"/>
    <w:unhideWhenUsed/>
    <w:rsid w:val="00A74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C6C"/>
  </w:style>
  <w:style w:type="character" w:customStyle="1" w:styleId="Heading2Char">
    <w:name w:val="Heading 2 Char"/>
    <w:basedOn w:val="DefaultParagraphFont"/>
    <w:link w:val="Heading2"/>
    <w:uiPriority w:val="9"/>
    <w:rsid w:val="000E4E4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7511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F42A9"/>
    <w:rPr>
      <w:color w:val="0563C1" w:themeColor="hyperlink"/>
      <w:u w:val="single"/>
    </w:rPr>
  </w:style>
  <w:style w:type="character" w:styleId="UnresolvedMention">
    <w:name w:val="Unresolved Mention"/>
    <w:basedOn w:val="DefaultParagraphFont"/>
    <w:uiPriority w:val="99"/>
    <w:semiHidden/>
    <w:unhideWhenUsed/>
    <w:rsid w:val="001F4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au.mimecast.com/s/8ywjC2xMQziklG67AH13Nut?domain=doi.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erkinelmer.com/uk/product/harmony-4-9-office-license-hh17000010" TargetMode="External"/><Relationship Id="rId4" Type="http://schemas.openxmlformats.org/officeDocument/2006/relationships/webSettings" Target="webSettings.xml"/><Relationship Id="rId9" Type="http://schemas.openxmlformats.org/officeDocument/2006/relationships/hyperlink" Target="https://protect-au.mimecast.com/s/mvfcC3QNPBimAMxZVU2pt4-?domain=do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Trist</dc:creator>
  <cp:keywords/>
  <dc:description/>
  <cp:lastModifiedBy>Adahir Labrador Garrido</cp:lastModifiedBy>
  <cp:revision>9</cp:revision>
  <dcterms:created xsi:type="dcterms:W3CDTF">2022-08-29T06:30:00Z</dcterms:created>
  <dcterms:modified xsi:type="dcterms:W3CDTF">2022-08-30T05:12:00Z</dcterms:modified>
</cp:coreProperties>
</file>