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744" w:rsidRDefault="00583744" w:rsidP="00583744">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Mitochondrial complex activity assays</w:t>
      </w:r>
    </w:p>
    <w:p w:rsidR="00287AD2" w:rsidRPr="00391176" w:rsidRDefault="00287AD2" w:rsidP="00287AD2">
      <w:pPr>
        <w:pStyle w:val="NormalWeb"/>
        <w:spacing w:after="0"/>
        <w:jc w:val="both"/>
        <w:rPr>
          <w:rFonts w:ascii="Arial" w:hAnsi="Arial" w:cs="Arial"/>
          <w:bCs/>
          <w:color w:val="000000"/>
          <w:sz w:val="22"/>
          <w:szCs w:val="22"/>
          <w:lang w:val="it-IT"/>
        </w:rPr>
      </w:pPr>
      <w:r w:rsidRPr="00391176">
        <w:rPr>
          <w:rFonts w:ascii="Arial" w:hAnsi="Arial" w:cs="Arial"/>
          <w:bCs/>
          <w:color w:val="000000"/>
          <w:sz w:val="22"/>
          <w:szCs w:val="22"/>
          <w:lang w:val="it-IT"/>
        </w:rPr>
        <w:t xml:space="preserve">Michela Deleidi </w:t>
      </w:r>
      <w:proofErr w:type="gramStart"/>
      <w:r w:rsidRPr="00391176">
        <w:rPr>
          <w:rFonts w:ascii="Arial" w:hAnsi="Arial" w:cs="Arial"/>
          <w:bCs/>
          <w:color w:val="000000"/>
          <w:sz w:val="22"/>
          <w:szCs w:val="22"/>
          <w:lang w:val="it-IT"/>
        </w:rPr>
        <w:t>1,María</w:t>
      </w:r>
      <w:proofErr w:type="gramEnd"/>
      <w:r w:rsidRPr="00391176">
        <w:rPr>
          <w:rFonts w:ascii="Arial" w:hAnsi="Arial" w:cs="Arial"/>
          <w:bCs/>
          <w:color w:val="000000"/>
          <w:sz w:val="22"/>
          <w:szCs w:val="22"/>
          <w:lang w:val="it-IT"/>
        </w:rPr>
        <w:t xml:space="preserve"> José </w:t>
      </w:r>
      <w:proofErr w:type="spellStart"/>
      <w:r w:rsidRPr="00391176">
        <w:rPr>
          <w:rFonts w:ascii="Arial" w:hAnsi="Arial" w:cs="Arial"/>
          <w:bCs/>
          <w:color w:val="000000"/>
          <w:sz w:val="22"/>
          <w:szCs w:val="22"/>
          <w:lang w:val="it-IT"/>
        </w:rPr>
        <w:t>Pérez</w:t>
      </w:r>
      <w:proofErr w:type="spellEnd"/>
      <w:r w:rsidRPr="00391176">
        <w:rPr>
          <w:rFonts w:ascii="Arial" w:hAnsi="Arial" w:cs="Arial"/>
          <w:bCs/>
          <w:color w:val="000000"/>
          <w:sz w:val="22"/>
          <w:szCs w:val="22"/>
          <w:lang w:val="it-IT"/>
        </w:rPr>
        <w:t xml:space="preserve"> J.1,Hariam </w:t>
      </w:r>
      <w:proofErr w:type="spellStart"/>
      <w:r w:rsidRPr="00391176">
        <w:rPr>
          <w:rFonts w:ascii="Arial" w:hAnsi="Arial" w:cs="Arial"/>
          <w:bCs/>
          <w:color w:val="000000"/>
          <w:sz w:val="22"/>
          <w:szCs w:val="22"/>
          <w:lang w:val="it-IT"/>
        </w:rPr>
        <w:t>Raji</w:t>
      </w:r>
      <w:proofErr w:type="spellEnd"/>
      <w:r w:rsidRPr="00391176">
        <w:rPr>
          <w:rFonts w:ascii="Arial" w:hAnsi="Arial" w:cs="Arial"/>
          <w:bCs/>
          <w:color w:val="000000"/>
          <w:sz w:val="22"/>
          <w:szCs w:val="22"/>
          <w:lang w:val="it-IT"/>
        </w:rPr>
        <w:t xml:space="preserve"> 1,Pascale Baden 1,Federico Bertoli 1</w:t>
      </w:r>
    </w:p>
    <w:p w:rsidR="00287AD2" w:rsidRDefault="00287AD2" w:rsidP="00287AD2">
      <w:pPr>
        <w:pStyle w:val="NormalWeb"/>
        <w:spacing w:before="0" w:beforeAutospacing="0" w:after="0" w:afterAutospacing="0"/>
        <w:jc w:val="both"/>
        <w:rPr>
          <w:rFonts w:ascii="Arial" w:hAnsi="Arial" w:cs="Arial"/>
          <w:bCs/>
          <w:color w:val="000000"/>
          <w:sz w:val="22"/>
          <w:szCs w:val="22"/>
        </w:rPr>
      </w:pPr>
      <w:r w:rsidRPr="00391176">
        <w:rPr>
          <w:rFonts w:ascii="Arial" w:hAnsi="Arial" w:cs="Arial"/>
          <w:bCs/>
          <w:color w:val="000000"/>
          <w:sz w:val="22"/>
          <w:szCs w:val="22"/>
        </w:rPr>
        <w:t>1 German Center for Neurodegenerative Diseases (DZNE), Tübingen, 72076 Germany</w:t>
      </w:r>
    </w:p>
    <w:p w:rsidR="00287AD2" w:rsidRPr="00391176" w:rsidRDefault="00287AD2" w:rsidP="00287AD2">
      <w:pPr>
        <w:pStyle w:val="NormalWeb"/>
        <w:spacing w:before="0" w:beforeAutospacing="0" w:after="0" w:afterAutospacing="0"/>
        <w:jc w:val="both"/>
        <w:rPr>
          <w:rFonts w:ascii="Arial" w:hAnsi="Arial" w:cs="Arial"/>
          <w:bCs/>
          <w:color w:val="000000"/>
          <w:sz w:val="22"/>
          <w:szCs w:val="22"/>
        </w:rPr>
      </w:pPr>
    </w:p>
    <w:p w:rsidR="00287AD2" w:rsidRDefault="00287AD2" w:rsidP="00287AD2">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 </w:t>
      </w:r>
    </w:p>
    <w:p w:rsidR="00287AD2" w:rsidRDefault="00287AD2" w:rsidP="00287AD2">
      <w:pPr>
        <w:pStyle w:val="NormalWeb"/>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ABSTRACT</w:t>
      </w:r>
    </w:p>
    <w:p w:rsidR="00287AD2" w:rsidRDefault="00287AD2" w:rsidP="00287AD2">
      <w:pPr>
        <w:pStyle w:val="NormalWeb"/>
        <w:spacing w:before="0" w:beforeAutospacing="0" w:after="0" w:afterAutospacing="0"/>
        <w:jc w:val="both"/>
        <w:rPr>
          <w:rFonts w:ascii="Arial" w:hAnsi="Arial" w:cs="Arial"/>
          <w:b/>
          <w:bCs/>
          <w:color w:val="000000"/>
          <w:sz w:val="22"/>
          <w:szCs w:val="22"/>
        </w:rPr>
      </w:pPr>
    </w:p>
    <w:p w:rsidR="00287AD2" w:rsidRDefault="00287AD2" w:rsidP="00287AD2">
      <w:pPr>
        <w:pStyle w:val="NormalWeb"/>
        <w:spacing w:before="0" w:beforeAutospacing="0" w:after="0" w:afterAutospacing="0"/>
        <w:jc w:val="both"/>
        <w:rPr>
          <w:rFonts w:ascii="Arial" w:hAnsi="Arial" w:cs="Arial"/>
          <w:bCs/>
          <w:color w:val="000000"/>
          <w:sz w:val="22"/>
          <w:szCs w:val="22"/>
        </w:rPr>
      </w:pPr>
      <w:r w:rsidRPr="00287AD2">
        <w:rPr>
          <w:rFonts w:ascii="Arial" w:hAnsi="Arial" w:cs="Arial"/>
          <w:bCs/>
          <w:color w:val="000000"/>
          <w:sz w:val="22"/>
          <w:szCs w:val="22"/>
        </w:rPr>
        <w:t xml:space="preserve">Mitochondria complex activity assays </w:t>
      </w:r>
      <w:bookmarkStart w:id="0" w:name="_GoBack"/>
      <w:bookmarkEnd w:id="0"/>
      <w:r w:rsidRPr="00287AD2">
        <w:rPr>
          <w:rFonts w:ascii="Arial" w:hAnsi="Arial" w:cs="Arial"/>
          <w:bCs/>
          <w:color w:val="000000"/>
          <w:sz w:val="22"/>
          <w:szCs w:val="22"/>
        </w:rPr>
        <w:t>measure the activity levels of the different complexes of the mitochondrial electron transport chain (ETC).</w:t>
      </w:r>
    </w:p>
    <w:p w:rsidR="00287AD2" w:rsidRDefault="00287AD2" w:rsidP="00287AD2">
      <w:pPr>
        <w:pStyle w:val="NormalWeb"/>
        <w:spacing w:before="0" w:beforeAutospacing="0" w:after="0" w:afterAutospacing="0"/>
        <w:jc w:val="both"/>
        <w:rPr>
          <w:rFonts w:ascii="Arial" w:hAnsi="Arial" w:cs="Arial"/>
          <w:bCs/>
          <w:color w:val="000000"/>
          <w:sz w:val="22"/>
          <w:szCs w:val="22"/>
        </w:rPr>
      </w:pPr>
    </w:p>
    <w:p w:rsidR="00287AD2" w:rsidRPr="00391176" w:rsidRDefault="00287AD2" w:rsidP="00287AD2">
      <w:pPr>
        <w:pStyle w:val="NormalWeb"/>
        <w:spacing w:before="0" w:beforeAutospacing="0" w:after="0" w:afterAutospacing="0"/>
        <w:jc w:val="both"/>
        <w:rPr>
          <w:rFonts w:ascii="Arial" w:hAnsi="Arial" w:cs="Arial"/>
          <w:b/>
          <w:bCs/>
          <w:color w:val="000000"/>
          <w:sz w:val="22"/>
          <w:szCs w:val="22"/>
        </w:rPr>
      </w:pPr>
      <w:r w:rsidRPr="00391176">
        <w:rPr>
          <w:rFonts w:ascii="Arial" w:hAnsi="Arial" w:cs="Arial"/>
          <w:b/>
          <w:bCs/>
          <w:color w:val="000000"/>
          <w:sz w:val="22"/>
          <w:szCs w:val="22"/>
        </w:rPr>
        <w:t>Protocol</w:t>
      </w:r>
    </w:p>
    <w:p w:rsidR="00287AD2" w:rsidRDefault="00287AD2" w:rsidP="00583744">
      <w:pPr>
        <w:pStyle w:val="NormalWeb"/>
        <w:spacing w:before="0" w:beforeAutospacing="0" w:after="0" w:afterAutospacing="0"/>
        <w:jc w:val="both"/>
      </w:pPr>
    </w:p>
    <w:p w:rsidR="00287AD2" w:rsidRDefault="00287AD2" w:rsidP="00583744">
      <w:pPr>
        <w:pStyle w:val="NormalWeb"/>
        <w:spacing w:before="0" w:beforeAutospacing="0" w:after="0" w:afterAutospacing="0"/>
        <w:jc w:val="both"/>
      </w:pPr>
    </w:p>
    <w:p w:rsidR="00583744" w:rsidRDefault="00583744" w:rsidP="00583744">
      <w:pPr>
        <w:pStyle w:val="NormalWeb"/>
        <w:spacing w:before="0" w:beforeAutospacing="0" w:after="0" w:afterAutospacing="0"/>
        <w:jc w:val="both"/>
      </w:pPr>
      <w:r>
        <w:rPr>
          <w:rFonts w:ascii="Arial" w:hAnsi="Arial" w:cs="Arial"/>
          <w:color w:val="000000"/>
          <w:sz w:val="22"/>
          <w:szCs w:val="22"/>
        </w:rPr>
        <w:t xml:space="preserve">Mitochondria were isolated from HEK cells, iPSC-derived neurons, or midbrain organoids using the </w:t>
      </w:r>
      <w:proofErr w:type="spellStart"/>
      <w:r>
        <w:rPr>
          <w:rFonts w:ascii="Arial" w:hAnsi="Arial" w:cs="Arial"/>
          <w:color w:val="000000"/>
          <w:sz w:val="22"/>
          <w:szCs w:val="22"/>
        </w:rPr>
        <w:t>Qproteome</w:t>
      </w:r>
      <w:proofErr w:type="spellEnd"/>
      <w:r>
        <w:rPr>
          <w:rFonts w:ascii="Arial" w:hAnsi="Arial" w:cs="Arial"/>
          <w:color w:val="000000"/>
          <w:sz w:val="22"/>
          <w:szCs w:val="22"/>
        </w:rPr>
        <w:t xml:space="preserve"> Mitochondrial isolation kit as described above. Complex I (NADH oxidase/coenzyme Q reductase) was measured using the </w:t>
      </w:r>
      <w:proofErr w:type="spellStart"/>
      <w:r>
        <w:rPr>
          <w:rFonts w:ascii="Arial" w:hAnsi="Arial" w:cs="Arial"/>
          <w:color w:val="000000"/>
          <w:sz w:val="22"/>
          <w:szCs w:val="22"/>
        </w:rPr>
        <w:t>MitoCheck</w:t>
      </w:r>
      <w:proofErr w:type="spellEnd"/>
      <w:r>
        <w:rPr>
          <w:rFonts w:ascii="Arial" w:hAnsi="Arial" w:cs="Arial"/>
          <w:color w:val="000000"/>
          <w:sz w:val="22"/>
          <w:szCs w:val="22"/>
        </w:rPr>
        <w:t xml:space="preserve"> Complex I Activity Assay kit (Cayman Chemical, cat# 700930). The rate of NADH oxidation, which is proportional to CI activity, was determined by a decrease in absorbance at 340 nm over 15 min in the presence of ubiquinone and potassium cyanide to inhibit complex IV and prevent oxidation of ubiquinone. To assess CI, CII, and CIV function, we used a respirometry approach based on </w:t>
      </w:r>
      <w:proofErr w:type="spellStart"/>
      <w:r>
        <w:rPr>
          <w:rFonts w:ascii="Arial" w:hAnsi="Arial" w:cs="Arial"/>
          <w:color w:val="000000"/>
          <w:sz w:val="22"/>
          <w:szCs w:val="22"/>
        </w:rPr>
        <w:t>XFp</w:t>
      </w:r>
      <w:proofErr w:type="spellEnd"/>
      <w:r>
        <w:rPr>
          <w:rFonts w:ascii="Arial" w:hAnsi="Arial" w:cs="Arial"/>
          <w:color w:val="000000"/>
          <w:sz w:val="22"/>
          <w:szCs w:val="22"/>
        </w:rPr>
        <w:t xml:space="preserve"> Extracellular Flux Analysis</w:t>
      </w:r>
      <w:r>
        <w:rPr>
          <w:rFonts w:ascii="Cambria" w:hAnsi="Cambria"/>
          <w:color w:val="000000"/>
        </w:rPr>
        <w:t xml:space="preserve"> </w:t>
      </w:r>
      <w:r>
        <w:rPr>
          <w:rFonts w:ascii="Arial" w:hAnsi="Arial" w:cs="Arial"/>
          <w:color w:val="000000"/>
          <w:sz w:val="13"/>
          <w:szCs w:val="13"/>
          <w:vertAlign w:val="superscript"/>
        </w:rPr>
        <w:t>63</w:t>
      </w:r>
      <w:r>
        <w:rPr>
          <w:rFonts w:ascii="Arial" w:hAnsi="Arial" w:cs="Arial"/>
          <w:color w:val="000000"/>
          <w:sz w:val="22"/>
          <w:szCs w:val="22"/>
        </w:rPr>
        <w:t xml:space="preserve">. To this end, 3 mg of purified fresh mitochondria were resuspended in 200 </w:t>
      </w:r>
      <w:proofErr w:type="spellStart"/>
      <w:r>
        <w:rPr>
          <w:rFonts w:ascii="Arial" w:hAnsi="Arial" w:cs="Arial"/>
          <w:color w:val="000000"/>
          <w:sz w:val="22"/>
          <w:szCs w:val="22"/>
        </w:rPr>
        <w:t>μl</w:t>
      </w:r>
      <w:proofErr w:type="spellEnd"/>
      <w:r>
        <w:rPr>
          <w:rFonts w:ascii="Arial" w:hAnsi="Arial" w:cs="Arial"/>
          <w:color w:val="000000"/>
          <w:sz w:val="22"/>
          <w:szCs w:val="22"/>
        </w:rPr>
        <w:t xml:space="preserve"> of MAS buffer (70 mM sucrose, 220 mM mannitol, 5 mM KH2PO4, 5 mM MgCl2, 1 mM EGTA, 2 mM HEPES pH 7,4) and seeded in </w:t>
      </w:r>
      <w:proofErr w:type="spellStart"/>
      <w:r>
        <w:rPr>
          <w:rFonts w:ascii="Arial" w:hAnsi="Arial" w:cs="Arial"/>
          <w:color w:val="000000"/>
          <w:sz w:val="22"/>
          <w:szCs w:val="22"/>
        </w:rPr>
        <w:t>XFpSeahorse</w:t>
      </w:r>
      <w:proofErr w:type="spellEnd"/>
      <w:r>
        <w:rPr>
          <w:rFonts w:ascii="Arial" w:hAnsi="Arial" w:cs="Arial"/>
          <w:color w:val="000000"/>
          <w:sz w:val="22"/>
          <w:szCs w:val="22"/>
        </w:rPr>
        <w:t xml:space="preserve"> microplates. The plate was centrifugated at 2000 g for 5 min at 4°C. The OCR was measured before and after the serial addition of pyruvate + malate (5 mM each) + ADP 3,5 mM or 1mM Succinate + 4 µM rotenone, 4 µM rotenone + 8 µM antimycin A, 0,5 mM TMPD (</w:t>
      </w:r>
      <w:proofErr w:type="gramStart"/>
      <w:r>
        <w:rPr>
          <w:rFonts w:ascii="Arial" w:hAnsi="Arial" w:cs="Arial"/>
          <w:color w:val="000000"/>
          <w:sz w:val="22"/>
          <w:szCs w:val="22"/>
        </w:rPr>
        <w:t>N,N</w:t>
      </w:r>
      <w:proofErr w:type="gramEnd"/>
      <w:r>
        <w:rPr>
          <w:rFonts w:ascii="Arial" w:hAnsi="Arial" w:cs="Arial"/>
          <w:color w:val="000000"/>
          <w:sz w:val="22"/>
          <w:szCs w:val="22"/>
        </w:rPr>
        <w:t xml:space="preserve">,N′,N′-tetramethyl-p-phenylenediamine dihydrochloride, Santa Cruz Biotechnology) + 1mM ascorbic acid, and 50 mM </w:t>
      </w:r>
      <w:proofErr w:type="spellStart"/>
      <w:r>
        <w:rPr>
          <w:rFonts w:ascii="Arial" w:hAnsi="Arial" w:cs="Arial"/>
          <w:color w:val="000000"/>
          <w:sz w:val="22"/>
          <w:szCs w:val="22"/>
        </w:rPr>
        <w:t>azide</w:t>
      </w:r>
      <w:proofErr w:type="spellEnd"/>
      <w:r>
        <w:rPr>
          <w:rFonts w:ascii="Arial" w:hAnsi="Arial" w:cs="Arial"/>
          <w:color w:val="000000"/>
          <w:sz w:val="22"/>
          <w:szCs w:val="22"/>
        </w:rPr>
        <w:t xml:space="preserve">. Following each injection, three measurements for a total period of 15 min were recorded. Complex I-, II-, and IV-dependent respiration was calculated by subtracting OCR values from the substrates (Pyruvate + malate + ADP for CI, Succinate + rotenone for CII and TMPD + ascorbic acid for CIV) subtracted from the ones from the inhibitors (rotenone for CI, antimycin A + rotenone for CII and </w:t>
      </w:r>
      <w:proofErr w:type="spellStart"/>
      <w:r>
        <w:rPr>
          <w:rFonts w:ascii="Arial" w:hAnsi="Arial" w:cs="Arial"/>
          <w:color w:val="000000"/>
          <w:sz w:val="22"/>
          <w:szCs w:val="22"/>
        </w:rPr>
        <w:t>azide</w:t>
      </w:r>
      <w:proofErr w:type="spellEnd"/>
      <w:r>
        <w:rPr>
          <w:rFonts w:ascii="Arial" w:hAnsi="Arial" w:cs="Arial"/>
          <w:color w:val="000000"/>
          <w:sz w:val="22"/>
          <w:szCs w:val="22"/>
        </w:rPr>
        <w:t xml:space="preserve"> for CIV). The experimental values were normalized to the protein content per well via a BCA assay.</w:t>
      </w:r>
    </w:p>
    <w:p w:rsidR="00867093" w:rsidRPr="00583744" w:rsidRDefault="00867093">
      <w:pPr>
        <w:rPr>
          <w:lang w:val="en-US"/>
        </w:rPr>
      </w:pPr>
    </w:p>
    <w:sectPr w:rsidR="00867093" w:rsidRPr="005837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4"/>
    <w:rsid w:val="001B5622"/>
    <w:rsid w:val="00201E5F"/>
    <w:rsid w:val="00287AD2"/>
    <w:rsid w:val="003A5F10"/>
    <w:rsid w:val="00583744"/>
    <w:rsid w:val="00867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9B11"/>
  <w15:chartTrackingRefBased/>
  <w15:docId w15:val="{8A6D9071-285D-425B-81BF-B6A12615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74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3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Marlene</dc:creator>
  <cp:keywords/>
  <dc:description/>
  <cp:lastModifiedBy>Schmidt Marlene</cp:lastModifiedBy>
  <cp:revision>2</cp:revision>
  <dcterms:created xsi:type="dcterms:W3CDTF">2023-03-08T15:38:00Z</dcterms:created>
  <dcterms:modified xsi:type="dcterms:W3CDTF">2023-03-08T15:54:00Z</dcterms:modified>
</cp:coreProperties>
</file>